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D4E0" w14:textId="77777777" w:rsidR="00D73268" w:rsidRDefault="00D73268" w:rsidP="00D73268">
      <w:pPr>
        <w:pStyle w:val="Title"/>
      </w:pPr>
    </w:p>
    <w:p w14:paraId="712AD60D" w14:textId="69FE885D" w:rsidR="00D73268" w:rsidRDefault="002A1719" w:rsidP="002A1719">
      <w:pPr>
        <w:pStyle w:val="Title"/>
        <w:tabs>
          <w:tab w:val="left" w:pos="7380"/>
        </w:tabs>
        <w:jc w:val="left"/>
      </w:pPr>
      <w:r>
        <w:tab/>
      </w: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1C621C64" w14:textId="30BF1D64" w:rsidR="002A1719" w:rsidRPr="002A1719" w:rsidRDefault="004F450E" w:rsidP="002A1719">
      <w:pPr>
        <w:pStyle w:val="Title"/>
      </w:pPr>
      <w:r>
        <w:t xml:space="preserve">Questions for </w:t>
      </w:r>
      <w:r w:rsidR="002A1719" w:rsidRPr="002A1719">
        <w:t xml:space="preserve">public consultation on </w:t>
      </w:r>
      <w:r w:rsidR="0082024B">
        <w:t xml:space="preserve">Draft </w:t>
      </w:r>
      <w:r w:rsidR="00893CB0" w:rsidRPr="00876063">
        <w:rPr>
          <w:rFonts w:eastAsia="Calibri"/>
        </w:rPr>
        <w:t>Operational Resilience Objectives [and Toolkit]</w:t>
      </w:r>
    </w:p>
    <w:p w14:paraId="3C460DF5" w14:textId="27BE84BF" w:rsidR="006E1B30" w:rsidRPr="006E1B30" w:rsidRDefault="006E1B30" w:rsidP="002A1719">
      <w:pPr>
        <w:pStyle w:val="Title"/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2FFFF881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</w:t>
      </w:r>
      <w:r w:rsidR="006E1B30">
        <w:rPr>
          <w:lang w:eastAsia="en-GB"/>
        </w:rPr>
        <w:t>p</w:t>
      </w:r>
      <w:r w:rsidR="006E1B30" w:rsidRPr="006E1B30">
        <w:rPr>
          <w:lang w:eastAsia="en-GB"/>
        </w:rPr>
        <w:t>ublic consultation on</w:t>
      </w:r>
      <w:r w:rsidR="00893CB0">
        <w:rPr>
          <w:lang w:eastAsia="en-GB"/>
        </w:rPr>
        <w:t xml:space="preserve"> </w:t>
      </w:r>
      <w:r w:rsidR="00893CB0" w:rsidRPr="00876063">
        <w:rPr>
          <w:rFonts w:eastAsia="Calibri"/>
        </w:rPr>
        <w:t>Draft Application Paper on Operational Resilience Objectives [and Toolkit]</w:t>
      </w:r>
      <w:r w:rsidR="006E1B30">
        <w:rPr>
          <w:lang w:eastAsia="en-GB"/>
        </w:rPr>
        <w:t xml:space="preserve">. </w:t>
      </w:r>
      <w:r w:rsidRPr="00CA70DA">
        <w:rPr>
          <w:lang w:eastAsia="en-GB"/>
        </w:rPr>
        <w:t xml:space="preserve">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1AB86E21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</w:t>
            </w:r>
            <w:r w:rsidRPr="0039168A">
              <w:rPr>
                <w:b/>
                <w:lang w:eastAsia="en-GB"/>
              </w:rPr>
              <w:t xml:space="preserve">via the </w:t>
            </w:r>
            <w:hyperlink r:id="rId12" w:history="1">
              <w:r w:rsidRPr="0039168A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39168A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39168A" w:rsidRDefault="00D73268" w:rsidP="00D73268">
      <w:pPr>
        <w:rPr>
          <w:lang w:val="en-US"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260AD95" w14:textId="0EA6FDC7" w:rsidR="0039168A" w:rsidRDefault="009D2E6F" w:rsidP="00893CB0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893CB0" w:rsidRPr="00893CB0" w14:paraId="60B4D6F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0DF8C1F2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</w:t>
            </w:r>
          </w:p>
        </w:tc>
        <w:tc>
          <w:tcPr>
            <w:tcW w:w="8663" w:type="dxa"/>
            <w:noWrap/>
            <w:hideMark/>
          </w:tcPr>
          <w:p w14:paraId="1B35240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the Application Paper</w:t>
            </w:r>
          </w:p>
        </w:tc>
      </w:tr>
      <w:tr w:rsidR="00893CB0" w:rsidRPr="00893CB0" w14:paraId="39AE0476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4A7D68B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</w:t>
            </w:r>
          </w:p>
        </w:tc>
        <w:tc>
          <w:tcPr>
            <w:tcW w:w="8663" w:type="dxa"/>
            <w:noWrap/>
            <w:hideMark/>
          </w:tcPr>
          <w:p w14:paraId="05DE3BEF" w14:textId="298C65AF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1</w:t>
            </w:r>
            <w:r w:rsidR="0082024B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Introduction</w:t>
            </w:r>
          </w:p>
        </w:tc>
      </w:tr>
      <w:tr w:rsidR="00893CB0" w:rsidRPr="00893CB0" w14:paraId="7461E289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3EDE507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</w:t>
            </w:r>
          </w:p>
        </w:tc>
        <w:tc>
          <w:tcPr>
            <w:tcW w:w="8663" w:type="dxa"/>
            <w:noWrap/>
            <w:hideMark/>
          </w:tcPr>
          <w:p w14:paraId="3878264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1.1 Background and purpose</w:t>
            </w:r>
          </w:p>
        </w:tc>
      </w:tr>
      <w:tr w:rsidR="00893CB0" w:rsidRPr="00893CB0" w14:paraId="000F3E24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A3C930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</w:t>
            </w:r>
          </w:p>
        </w:tc>
        <w:tc>
          <w:tcPr>
            <w:tcW w:w="8663" w:type="dxa"/>
            <w:noWrap/>
            <w:hideMark/>
          </w:tcPr>
          <w:p w14:paraId="30E298DE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</w:t>
            </w:r>
          </w:p>
        </w:tc>
      </w:tr>
      <w:tr w:rsidR="00893CB0" w:rsidRPr="00893CB0" w14:paraId="4730CFC7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3CF951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</w:t>
            </w:r>
          </w:p>
        </w:tc>
        <w:tc>
          <w:tcPr>
            <w:tcW w:w="8663" w:type="dxa"/>
            <w:noWrap/>
            <w:hideMark/>
          </w:tcPr>
          <w:p w14:paraId="2D984F8E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</w:t>
            </w:r>
          </w:p>
        </w:tc>
      </w:tr>
      <w:tr w:rsidR="00893CB0" w:rsidRPr="00893CB0" w14:paraId="45721D2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69FF34A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6</w:t>
            </w:r>
          </w:p>
        </w:tc>
        <w:tc>
          <w:tcPr>
            <w:tcW w:w="8663" w:type="dxa"/>
            <w:noWrap/>
            <w:hideMark/>
          </w:tcPr>
          <w:p w14:paraId="31452A3C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3</w:t>
            </w:r>
          </w:p>
        </w:tc>
      </w:tr>
      <w:tr w:rsidR="00893CB0" w:rsidRPr="00893CB0" w14:paraId="35CACD51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5D56DC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7</w:t>
            </w:r>
          </w:p>
        </w:tc>
        <w:tc>
          <w:tcPr>
            <w:tcW w:w="8663" w:type="dxa"/>
            <w:noWrap/>
            <w:hideMark/>
          </w:tcPr>
          <w:p w14:paraId="27E275B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4</w:t>
            </w:r>
          </w:p>
        </w:tc>
      </w:tr>
      <w:tr w:rsidR="00893CB0" w:rsidRPr="00893CB0" w14:paraId="774A406C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0335C1D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8</w:t>
            </w:r>
          </w:p>
        </w:tc>
        <w:tc>
          <w:tcPr>
            <w:tcW w:w="8663" w:type="dxa"/>
            <w:noWrap/>
            <w:hideMark/>
          </w:tcPr>
          <w:p w14:paraId="0D61AD8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5</w:t>
            </w:r>
          </w:p>
        </w:tc>
      </w:tr>
      <w:tr w:rsidR="00893CB0" w:rsidRPr="00893CB0" w14:paraId="0AAC0B8F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6965429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9</w:t>
            </w:r>
          </w:p>
        </w:tc>
        <w:tc>
          <w:tcPr>
            <w:tcW w:w="8663" w:type="dxa"/>
            <w:noWrap/>
            <w:hideMark/>
          </w:tcPr>
          <w:p w14:paraId="00279C8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6</w:t>
            </w:r>
          </w:p>
        </w:tc>
      </w:tr>
      <w:tr w:rsidR="00893CB0" w:rsidRPr="00893CB0" w14:paraId="6944F081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054428B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8663" w:type="dxa"/>
            <w:noWrap/>
            <w:hideMark/>
          </w:tcPr>
          <w:p w14:paraId="22DBE74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7</w:t>
            </w:r>
          </w:p>
        </w:tc>
      </w:tr>
      <w:tr w:rsidR="00893CB0" w:rsidRPr="00893CB0" w14:paraId="064141B2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4CB6A05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11</w:t>
            </w:r>
          </w:p>
        </w:tc>
        <w:tc>
          <w:tcPr>
            <w:tcW w:w="8663" w:type="dxa"/>
            <w:noWrap/>
            <w:hideMark/>
          </w:tcPr>
          <w:p w14:paraId="5AAEFD8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8</w:t>
            </w:r>
          </w:p>
        </w:tc>
      </w:tr>
      <w:tr w:rsidR="00893CB0" w:rsidRPr="00893CB0" w14:paraId="3DD84885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08203BD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12</w:t>
            </w:r>
          </w:p>
        </w:tc>
        <w:tc>
          <w:tcPr>
            <w:tcW w:w="8663" w:type="dxa"/>
            <w:noWrap/>
            <w:hideMark/>
          </w:tcPr>
          <w:p w14:paraId="66D6145E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1.2 How ICPs support operational resilience</w:t>
            </w:r>
          </w:p>
        </w:tc>
      </w:tr>
      <w:tr w:rsidR="00893CB0" w:rsidRPr="00893CB0" w14:paraId="3138BF1A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2D62DF26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13</w:t>
            </w:r>
          </w:p>
        </w:tc>
        <w:tc>
          <w:tcPr>
            <w:tcW w:w="8663" w:type="dxa"/>
            <w:noWrap/>
            <w:hideMark/>
          </w:tcPr>
          <w:p w14:paraId="45177D8F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9</w:t>
            </w:r>
          </w:p>
        </w:tc>
      </w:tr>
      <w:tr w:rsidR="00893CB0" w:rsidRPr="00893CB0" w14:paraId="3AD45646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9080E5A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14</w:t>
            </w:r>
          </w:p>
        </w:tc>
        <w:tc>
          <w:tcPr>
            <w:tcW w:w="8663" w:type="dxa"/>
            <w:noWrap/>
            <w:hideMark/>
          </w:tcPr>
          <w:p w14:paraId="751B7E97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10</w:t>
            </w:r>
          </w:p>
        </w:tc>
      </w:tr>
      <w:tr w:rsidR="00893CB0" w:rsidRPr="00893CB0" w14:paraId="1DB43384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EFE9929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15</w:t>
            </w:r>
          </w:p>
        </w:tc>
        <w:tc>
          <w:tcPr>
            <w:tcW w:w="8663" w:type="dxa"/>
            <w:noWrap/>
            <w:hideMark/>
          </w:tcPr>
          <w:p w14:paraId="0846C304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11</w:t>
            </w:r>
          </w:p>
        </w:tc>
      </w:tr>
      <w:tr w:rsidR="00893CB0" w:rsidRPr="00893CB0" w14:paraId="19EF096D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2529183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16</w:t>
            </w:r>
          </w:p>
        </w:tc>
        <w:tc>
          <w:tcPr>
            <w:tcW w:w="8663" w:type="dxa"/>
            <w:noWrap/>
            <w:hideMark/>
          </w:tcPr>
          <w:p w14:paraId="34938200" w14:textId="7CDCCDE5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2</w:t>
            </w:r>
            <w:r w:rsidR="0082024B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</w:t>
            </w:r>
            <w:r w:rsidR="0082024B" w:rsidRPr="0082024B">
              <w:rPr>
                <w:rFonts w:ascii="Segoe UI" w:eastAsia="Times New Roman" w:hAnsi="Segoe UI" w:cs="Segoe UI"/>
                <w:color w:val="000000"/>
                <w:lang w:eastAsia="en-GB"/>
              </w:rPr>
              <w:t>Objectives for insurance sector operational resilience</w:t>
            </w:r>
          </w:p>
        </w:tc>
      </w:tr>
      <w:tr w:rsidR="00893CB0" w:rsidRPr="00893CB0" w14:paraId="431E0A9E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024962C2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17</w:t>
            </w:r>
          </w:p>
        </w:tc>
        <w:tc>
          <w:tcPr>
            <w:tcW w:w="8663" w:type="dxa"/>
            <w:noWrap/>
            <w:hideMark/>
          </w:tcPr>
          <w:p w14:paraId="545E5CE1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12</w:t>
            </w:r>
          </w:p>
        </w:tc>
      </w:tr>
      <w:tr w:rsidR="00893CB0" w:rsidRPr="00893CB0" w14:paraId="012A4F5C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28A28E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18</w:t>
            </w:r>
          </w:p>
        </w:tc>
        <w:tc>
          <w:tcPr>
            <w:tcW w:w="8663" w:type="dxa"/>
            <w:noWrap/>
            <w:hideMark/>
          </w:tcPr>
          <w:p w14:paraId="39515B5A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13</w:t>
            </w:r>
          </w:p>
        </w:tc>
      </w:tr>
      <w:tr w:rsidR="00893CB0" w:rsidRPr="00893CB0" w14:paraId="47028EB9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F3330B9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19</w:t>
            </w:r>
          </w:p>
        </w:tc>
        <w:tc>
          <w:tcPr>
            <w:tcW w:w="8663" w:type="dxa"/>
            <w:noWrap/>
            <w:hideMark/>
          </w:tcPr>
          <w:p w14:paraId="79E0FAC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14</w:t>
            </w:r>
          </w:p>
        </w:tc>
      </w:tr>
      <w:tr w:rsidR="00893CB0" w:rsidRPr="00893CB0" w14:paraId="3E876DD2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82A199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20</w:t>
            </w:r>
          </w:p>
        </w:tc>
        <w:tc>
          <w:tcPr>
            <w:tcW w:w="8663" w:type="dxa"/>
            <w:noWrap/>
            <w:hideMark/>
          </w:tcPr>
          <w:p w14:paraId="12255DA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15</w:t>
            </w:r>
          </w:p>
        </w:tc>
      </w:tr>
      <w:tr w:rsidR="00893CB0" w:rsidRPr="00893CB0" w14:paraId="5266EE76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C8CDF10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21</w:t>
            </w:r>
          </w:p>
        </w:tc>
        <w:tc>
          <w:tcPr>
            <w:tcW w:w="8663" w:type="dxa"/>
            <w:noWrap/>
            <w:hideMark/>
          </w:tcPr>
          <w:p w14:paraId="7356577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2.1 Relationship amongst operational resilience, governance, and operational risk management</w:t>
            </w:r>
          </w:p>
        </w:tc>
      </w:tr>
      <w:tr w:rsidR="00893CB0" w:rsidRPr="00893CB0" w14:paraId="732E84B6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1D70A8B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22</w:t>
            </w:r>
          </w:p>
        </w:tc>
        <w:tc>
          <w:tcPr>
            <w:tcW w:w="8663" w:type="dxa"/>
            <w:noWrap/>
            <w:hideMark/>
          </w:tcPr>
          <w:p w14:paraId="41BC62FE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2.1.1</w:t>
            </w:r>
          </w:p>
        </w:tc>
      </w:tr>
      <w:tr w:rsidR="00893CB0" w:rsidRPr="00893CB0" w14:paraId="479BB98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AA61D2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23</w:t>
            </w:r>
          </w:p>
        </w:tc>
        <w:tc>
          <w:tcPr>
            <w:tcW w:w="8663" w:type="dxa"/>
            <w:noWrap/>
            <w:hideMark/>
          </w:tcPr>
          <w:p w14:paraId="31B9FFE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16</w:t>
            </w:r>
          </w:p>
        </w:tc>
      </w:tr>
      <w:tr w:rsidR="00893CB0" w:rsidRPr="00893CB0" w14:paraId="5BAE2F0D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C29641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24</w:t>
            </w:r>
          </w:p>
        </w:tc>
        <w:tc>
          <w:tcPr>
            <w:tcW w:w="8663" w:type="dxa"/>
            <w:noWrap/>
            <w:hideMark/>
          </w:tcPr>
          <w:p w14:paraId="1AF2478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17</w:t>
            </w:r>
          </w:p>
        </w:tc>
      </w:tr>
      <w:tr w:rsidR="00893CB0" w:rsidRPr="00893CB0" w14:paraId="7742CC7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44FE3F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25</w:t>
            </w:r>
          </w:p>
        </w:tc>
        <w:tc>
          <w:tcPr>
            <w:tcW w:w="8663" w:type="dxa"/>
            <w:noWrap/>
            <w:hideMark/>
          </w:tcPr>
          <w:p w14:paraId="47EA015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2.1.2</w:t>
            </w:r>
          </w:p>
        </w:tc>
      </w:tr>
      <w:tr w:rsidR="00893CB0" w:rsidRPr="00893CB0" w14:paraId="76EFF8AA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8AB9560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26</w:t>
            </w:r>
          </w:p>
        </w:tc>
        <w:tc>
          <w:tcPr>
            <w:tcW w:w="8663" w:type="dxa"/>
            <w:noWrap/>
            <w:hideMark/>
          </w:tcPr>
          <w:p w14:paraId="498E661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18</w:t>
            </w:r>
          </w:p>
        </w:tc>
      </w:tr>
      <w:tr w:rsidR="00893CB0" w:rsidRPr="00893CB0" w14:paraId="16048B60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F23904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27</w:t>
            </w:r>
          </w:p>
        </w:tc>
        <w:tc>
          <w:tcPr>
            <w:tcW w:w="8663" w:type="dxa"/>
            <w:noWrap/>
            <w:hideMark/>
          </w:tcPr>
          <w:p w14:paraId="42641EF6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General comments on Section 2.2 Key elements of a sound approach to operational resilience </w:t>
            </w:r>
          </w:p>
        </w:tc>
      </w:tr>
      <w:tr w:rsidR="00893CB0" w:rsidRPr="00893CB0" w14:paraId="5CD22560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763AAB5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28</w:t>
            </w:r>
          </w:p>
        </w:tc>
        <w:tc>
          <w:tcPr>
            <w:tcW w:w="8663" w:type="dxa"/>
            <w:noWrap/>
            <w:hideMark/>
          </w:tcPr>
          <w:p w14:paraId="5598AA82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2.2.1</w:t>
            </w:r>
          </w:p>
        </w:tc>
      </w:tr>
      <w:tr w:rsidR="00893CB0" w:rsidRPr="00893CB0" w14:paraId="0D3FCDAA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04F0C026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29</w:t>
            </w:r>
          </w:p>
        </w:tc>
        <w:tc>
          <w:tcPr>
            <w:tcW w:w="8663" w:type="dxa"/>
            <w:noWrap/>
            <w:hideMark/>
          </w:tcPr>
          <w:p w14:paraId="23083757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19</w:t>
            </w:r>
          </w:p>
        </w:tc>
      </w:tr>
      <w:tr w:rsidR="00893CB0" w:rsidRPr="00893CB0" w14:paraId="4B65766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3C1AA0E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30</w:t>
            </w:r>
          </w:p>
        </w:tc>
        <w:tc>
          <w:tcPr>
            <w:tcW w:w="8663" w:type="dxa"/>
            <w:noWrap/>
            <w:hideMark/>
          </w:tcPr>
          <w:p w14:paraId="17A5B6E0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2.2.2</w:t>
            </w:r>
          </w:p>
        </w:tc>
      </w:tr>
      <w:tr w:rsidR="00893CB0" w:rsidRPr="00893CB0" w14:paraId="12DE3EC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0E7C551E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31</w:t>
            </w:r>
          </w:p>
        </w:tc>
        <w:tc>
          <w:tcPr>
            <w:tcW w:w="8663" w:type="dxa"/>
            <w:noWrap/>
            <w:hideMark/>
          </w:tcPr>
          <w:p w14:paraId="52DA1180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20</w:t>
            </w:r>
          </w:p>
        </w:tc>
      </w:tr>
      <w:tr w:rsidR="00893CB0" w:rsidRPr="00893CB0" w14:paraId="7874B7E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31B4BFB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32</w:t>
            </w:r>
          </w:p>
        </w:tc>
        <w:tc>
          <w:tcPr>
            <w:tcW w:w="8663" w:type="dxa"/>
            <w:noWrap/>
            <w:hideMark/>
          </w:tcPr>
          <w:p w14:paraId="793EC767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2.2.3</w:t>
            </w:r>
          </w:p>
        </w:tc>
      </w:tr>
      <w:tr w:rsidR="00893CB0" w:rsidRPr="00893CB0" w14:paraId="1EDC1B2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0C0BC2A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33</w:t>
            </w:r>
          </w:p>
        </w:tc>
        <w:tc>
          <w:tcPr>
            <w:tcW w:w="8663" w:type="dxa"/>
            <w:noWrap/>
            <w:hideMark/>
          </w:tcPr>
          <w:p w14:paraId="6CFF729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21</w:t>
            </w:r>
          </w:p>
        </w:tc>
      </w:tr>
      <w:tr w:rsidR="00893CB0" w:rsidRPr="00893CB0" w14:paraId="4C1E5A6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D0B1476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34</w:t>
            </w:r>
          </w:p>
        </w:tc>
        <w:tc>
          <w:tcPr>
            <w:tcW w:w="8663" w:type="dxa"/>
            <w:noWrap/>
            <w:hideMark/>
          </w:tcPr>
          <w:p w14:paraId="2D1CFCE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2.2.4</w:t>
            </w:r>
          </w:p>
        </w:tc>
      </w:tr>
      <w:tr w:rsidR="00893CB0" w:rsidRPr="00893CB0" w14:paraId="20E9D424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37F9F6D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35</w:t>
            </w:r>
          </w:p>
        </w:tc>
        <w:tc>
          <w:tcPr>
            <w:tcW w:w="8663" w:type="dxa"/>
            <w:noWrap/>
            <w:hideMark/>
          </w:tcPr>
          <w:p w14:paraId="1213E94C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22</w:t>
            </w:r>
          </w:p>
        </w:tc>
      </w:tr>
      <w:tr w:rsidR="00893CB0" w:rsidRPr="00893CB0" w14:paraId="4681A91E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57C2027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lastRenderedPageBreak/>
              <w:t>36</w:t>
            </w:r>
          </w:p>
        </w:tc>
        <w:tc>
          <w:tcPr>
            <w:tcW w:w="8663" w:type="dxa"/>
            <w:noWrap/>
            <w:hideMark/>
          </w:tcPr>
          <w:p w14:paraId="45EA3F0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2.2.5</w:t>
            </w:r>
          </w:p>
        </w:tc>
      </w:tr>
      <w:tr w:rsidR="00893CB0" w:rsidRPr="00893CB0" w14:paraId="5FEB380C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741C41A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37</w:t>
            </w:r>
          </w:p>
        </w:tc>
        <w:tc>
          <w:tcPr>
            <w:tcW w:w="8663" w:type="dxa"/>
            <w:noWrap/>
            <w:hideMark/>
          </w:tcPr>
          <w:p w14:paraId="310D2257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23</w:t>
            </w:r>
          </w:p>
        </w:tc>
      </w:tr>
      <w:tr w:rsidR="00893CB0" w:rsidRPr="00893CB0" w14:paraId="0D45F03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DD21965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38</w:t>
            </w:r>
          </w:p>
        </w:tc>
        <w:tc>
          <w:tcPr>
            <w:tcW w:w="8663" w:type="dxa"/>
            <w:noWrap/>
            <w:hideMark/>
          </w:tcPr>
          <w:p w14:paraId="60252D41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2.2.6</w:t>
            </w:r>
          </w:p>
        </w:tc>
      </w:tr>
      <w:tr w:rsidR="00893CB0" w:rsidRPr="00893CB0" w14:paraId="521C9D42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4F1DC433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39</w:t>
            </w:r>
          </w:p>
        </w:tc>
        <w:tc>
          <w:tcPr>
            <w:tcW w:w="8663" w:type="dxa"/>
            <w:noWrap/>
            <w:hideMark/>
          </w:tcPr>
          <w:p w14:paraId="43FCBE4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24</w:t>
            </w:r>
          </w:p>
        </w:tc>
      </w:tr>
      <w:tr w:rsidR="00893CB0" w:rsidRPr="00893CB0" w14:paraId="360B831C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2EC9C34C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40</w:t>
            </w:r>
          </w:p>
        </w:tc>
        <w:tc>
          <w:tcPr>
            <w:tcW w:w="8663" w:type="dxa"/>
            <w:noWrap/>
            <w:hideMark/>
          </w:tcPr>
          <w:p w14:paraId="0D55F7AE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2.2.7</w:t>
            </w:r>
          </w:p>
        </w:tc>
      </w:tr>
      <w:tr w:rsidR="00893CB0" w:rsidRPr="00893CB0" w14:paraId="447237E4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2B1AC26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41</w:t>
            </w:r>
          </w:p>
        </w:tc>
        <w:tc>
          <w:tcPr>
            <w:tcW w:w="8663" w:type="dxa"/>
            <w:noWrap/>
            <w:hideMark/>
          </w:tcPr>
          <w:p w14:paraId="25262BFC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25</w:t>
            </w:r>
          </w:p>
        </w:tc>
      </w:tr>
      <w:tr w:rsidR="00893CB0" w:rsidRPr="00893CB0" w14:paraId="0F4BF572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6CD6FB65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42</w:t>
            </w:r>
          </w:p>
        </w:tc>
        <w:tc>
          <w:tcPr>
            <w:tcW w:w="8663" w:type="dxa"/>
            <w:noWrap/>
            <w:hideMark/>
          </w:tcPr>
          <w:p w14:paraId="0E773C2B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2.2.8</w:t>
            </w:r>
          </w:p>
        </w:tc>
      </w:tr>
      <w:tr w:rsidR="00893CB0" w:rsidRPr="00893CB0" w14:paraId="19E9A4ED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7013D640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43</w:t>
            </w:r>
          </w:p>
        </w:tc>
        <w:tc>
          <w:tcPr>
            <w:tcW w:w="8663" w:type="dxa"/>
            <w:noWrap/>
            <w:hideMark/>
          </w:tcPr>
          <w:p w14:paraId="440F4C29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26</w:t>
            </w:r>
          </w:p>
        </w:tc>
      </w:tr>
      <w:tr w:rsidR="00893CB0" w:rsidRPr="00893CB0" w14:paraId="721EBCD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368DE62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44</w:t>
            </w:r>
          </w:p>
        </w:tc>
        <w:tc>
          <w:tcPr>
            <w:tcW w:w="8663" w:type="dxa"/>
            <w:noWrap/>
            <w:hideMark/>
          </w:tcPr>
          <w:p w14:paraId="5928179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2.3 Objectives for insurance supervisors</w:t>
            </w:r>
          </w:p>
        </w:tc>
      </w:tr>
      <w:tr w:rsidR="00893CB0" w:rsidRPr="00893CB0" w14:paraId="1810D97C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203FB05E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45</w:t>
            </w:r>
          </w:p>
        </w:tc>
        <w:tc>
          <w:tcPr>
            <w:tcW w:w="8663" w:type="dxa"/>
            <w:noWrap/>
            <w:hideMark/>
          </w:tcPr>
          <w:p w14:paraId="465DD067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27</w:t>
            </w:r>
          </w:p>
        </w:tc>
      </w:tr>
      <w:tr w:rsidR="00893CB0" w:rsidRPr="00893CB0" w14:paraId="2B87FA80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9742A42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46</w:t>
            </w:r>
          </w:p>
        </w:tc>
        <w:tc>
          <w:tcPr>
            <w:tcW w:w="8663" w:type="dxa"/>
            <w:noWrap/>
            <w:hideMark/>
          </w:tcPr>
          <w:p w14:paraId="5886195D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2.3.1</w:t>
            </w:r>
          </w:p>
        </w:tc>
      </w:tr>
      <w:tr w:rsidR="00893CB0" w:rsidRPr="00893CB0" w14:paraId="1E862028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AA1C1B1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47</w:t>
            </w:r>
          </w:p>
        </w:tc>
        <w:tc>
          <w:tcPr>
            <w:tcW w:w="8663" w:type="dxa"/>
            <w:noWrap/>
            <w:hideMark/>
          </w:tcPr>
          <w:p w14:paraId="4A9057D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28</w:t>
            </w:r>
          </w:p>
        </w:tc>
      </w:tr>
      <w:tr w:rsidR="00893CB0" w:rsidRPr="00893CB0" w14:paraId="5440FF54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A8C6498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48</w:t>
            </w:r>
          </w:p>
        </w:tc>
        <w:tc>
          <w:tcPr>
            <w:tcW w:w="8663" w:type="dxa"/>
            <w:noWrap/>
            <w:hideMark/>
          </w:tcPr>
          <w:p w14:paraId="16FBC854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2.3.2</w:t>
            </w:r>
          </w:p>
        </w:tc>
      </w:tr>
      <w:tr w:rsidR="00893CB0" w:rsidRPr="00893CB0" w14:paraId="5FEA29A7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C9017ED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49</w:t>
            </w:r>
          </w:p>
        </w:tc>
        <w:tc>
          <w:tcPr>
            <w:tcW w:w="8663" w:type="dxa"/>
            <w:noWrap/>
            <w:hideMark/>
          </w:tcPr>
          <w:p w14:paraId="1EF2B3D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29</w:t>
            </w:r>
          </w:p>
        </w:tc>
      </w:tr>
      <w:tr w:rsidR="00893CB0" w:rsidRPr="00893CB0" w14:paraId="602CA58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54CD0BF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50</w:t>
            </w:r>
          </w:p>
        </w:tc>
        <w:tc>
          <w:tcPr>
            <w:tcW w:w="8663" w:type="dxa"/>
            <w:noWrap/>
            <w:hideMark/>
          </w:tcPr>
          <w:p w14:paraId="5EF10A7F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2.3.3</w:t>
            </w:r>
          </w:p>
        </w:tc>
      </w:tr>
      <w:tr w:rsidR="00893CB0" w:rsidRPr="00893CB0" w14:paraId="42C17A53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2BD7A58E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51</w:t>
            </w:r>
          </w:p>
        </w:tc>
        <w:tc>
          <w:tcPr>
            <w:tcW w:w="8663" w:type="dxa"/>
            <w:noWrap/>
            <w:hideMark/>
          </w:tcPr>
          <w:p w14:paraId="0AF70D2F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30</w:t>
            </w:r>
          </w:p>
        </w:tc>
      </w:tr>
      <w:tr w:rsidR="00893CB0" w:rsidRPr="00893CB0" w14:paraId="689950DB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137E891D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52</w:t>
            </w:r>
          </w:p>
        </w:tc>
        <w:tc>
          <w:tcPr>
            <w:tcW w:w="8663" w:type="dxa"/>
            <w:noWrap/>
            <w:hideMark/>
          </w:tcPr>
          <w:p w14:paraId="785ED188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Section 2.3.4</w:t>
            </w:r>
          </w:p>
        </w:tc>
      </w:tr>
      <w:tr w:rsidR="00893CB0" w:rsidRPr="00893CB0" w14:paraId="126174A0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5CBFC48A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53</w:t>
            </w:r>
          </w:p>
        </w:tc>
        <w:tc>
          <w:tcPr>
            <w:tcW w:w="8663" w:type="dxa"/>
            <w:noWrap/>
            <w:hideMark/>
          </w:tcPr>
          <w:p w14:paraId="43E3B9F3" w14:textId="77777777" w:rsidR="00893CB0" w:rsidRPr="00893CB0" w:rsidRDefault="00893CB0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Comments on Paragraph 31</w:t>
            </w:r>
          </w:p>
        </w:tc>
      </w:tr>
      <w:tr w:rsidR="00893CB0" w:rsidRPr="00893CB0" w14:paraId="4E8B3D05" w14:textId="77777777" w:rsidTr="00893CB0">
        <w:trPr>
          <w:trHeight w:val="330"/>
        </w:trPr>
        <w:tc>
          <w:tcPr>
            <w:tcW w:w="697" w:type="dxa"/>
            <w:noWrap/>
            <w:hideMark/>
          </w:tcPr>
          <w:p w14:paraId="3FC3CD55" w14:textId="77777777" w:rsidR="00893CB0" w:rsidRPr="00893CB0" w:rsidRDefault="00893CB0" w:rsidP="00893CB0">
            <w:pPr>
              <w:suppressAutoHyphens w:val="0"/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93CB0">
              <w:rPr>
                <w:rFonts w:ascii="Segoe UI" w:eastAsia="Times New Roman" w:hAnsi="Segoe UI" w:cs="Segoe UI"/>
                <w:color w:val="000000"/>
                <w:lang w:eastAsia="en-GB"/>
              </w:rPr>
              <w:t>54</w:t>
            </w:r>
          </w:p>
        </w:tc>
        <w:tc>
          <w:tcPr>
            <w:tcW w:w="8663" w:type="dxa"/>
            <w:noWrap/>
            <w:hideMark/>
          </w:tcPr>
          <w:p w14:paraId="55A8F9FD" w14:textId="330E9CE0" w:rsidR="00893CB0" w:rsidRPr="00893CB0" w:rsidRDefault="0082024B" w:rsidP="00893CB0">
            <w:pPr>
              <w:suppressAutoHyphens w:val="0"/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2024B">
              <w:rPr>
                <w:rFonts w:ascii="Segoe UI" w:eastAsia="Times New Roman" w:hAnsi="Segoe UI" w:cs="Segoe UI"/>
                <w:color w:val="000000"/>
                <w:lang w:eastAsia="en-GB"/>
              </w:rPr>
              <w:t>General comments on Section 3 Toolkit supporting Objectives for Insurance Sector Operational Resilience (placeholder) 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52C2BFBE" w14:textId="77777777" w:rsidR="00893CB0" w:rsidRPr="00893CB0" w:rsidRDefault="00893CB0" w:rsidP="00893CB0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</w:rPr>
          </w:pPr>
          <w:r w:rsidRP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Pr="00F0233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ublic consultation on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draft application on operational resilience objectives (and toolkit)</w:t>
          </w:r>
        </w:p>
        <w:p w14:paraId="192D2260" w14:textId="1442C227" w:rsidR="0014477C" w:rsidRPr="00BC65FE" w:rsidRDefault="00893CB0" w:rsidP="00893CB0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08 August 2024 – 11 October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34632DD6" w14:textId="7679F0BE" w:rsidR="00F02337" w:rsidRPr="00893CB0" w:rsidRDefault="00F02337" w:rsidP="00F02337">
          <w:pPr>
            <w:pStyle w:val="Footer"/>
            <w:ind w:left="40"/>
            <w:rPr>
              <w:rFonts w:cs="Tahoma"/>
              <w:b/>
              <w:bCs/>
              <w:color w:val="000000" w:themeColor="text1"/>
              <w:sz w:val="17"/>
              <w:szCs w:val="17"/>
            </w:rPr>
          </w:pPr>
          <w:r w:rsidRP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</w:t>
          </w:r>
          <w:r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</w:t>
          </w:r>
          <w:r w:rsidRPr="00F02337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ublic consultation on</w:t>
          </w:r>
          <w:r w:rsidR="00893CB0">
            <w:rPr>
              <w:rFonts w:cs="Tahoma"/>
              <w:b/>
              <w:bCs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draft application on operational resilience objectives (and toolkit)</w:t>
          </w:r>
        </w:p>
        <w:p w14:paraId="1AB3CA5F" w14:textId="2A8CD706" w:rsidR="00A001AC" w:rsidRPr="00D5084D" w:rsidRDefault="00893CB0" w:rsidP="00F02337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08 August 2024</w:t>
          </w:r>
          <w:r w:rsidR="0039168A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–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11 October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DC84BE" id="Rechteck 25" o:spid="_x0000_s1026" style="position:absolute;margin-left:958pt;margin-top:-107.15pt;width:57.6pt;height:62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1342" w14:textId="3BBB4D30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28F1"/>
    <w:multiLevelType w:val="multilevel"/>
    <w:tmpl w:val="13146CE4"/>
    <w:numStyleLink w:val="IAISnumberedlist"/>
  </w:abstractNum>
  <w:abstractNum w:abstractNumId="24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C5D40"/>
    <w:multiLevelType w:val="multilevel"/>
    <w:tmpl w:val="13146CE4"/>
    <w:numStyleLink w:val="IAISnumberedlist"/>
  </w:abstractNum>
  <w:abstractNum w:abstractNumId="33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4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3"/>
  </w:num>
  <w:num w:numId="7" w16cid:durableId="1896046096">
    <w:abstractNumId w:val="31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8"/>
  </w:num>
  <w:num w:numId="12" w16cid:durableId="23555840">
    <w:abstractNumId w:val="35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6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2"/>
  </w:num>
  <w:num w:numId="21" w16cid:durableId="846137948">
    <w:abstractNumId w:val="6"/>
  </w:num>
  <w:num w:numId="22" w16cid:durableId="1154878266">
    <w:abstractNumId w:val="30"/>
  </w:num>
  <w:num w:numId="23" w16cid:durableId="1755197833">
    <w:abstractNumId w:val="29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3"/>
  </w:num>
  <w:num w:numId="27" w16cid:durableId="1927612661">
    <w:abstractNumId w:val="21"/>
  </w:num>
  <w:num w:numId="28" w16cid:durableId="1412964571">
    <w:abstractNumId w:val="29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4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7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5"/>
  </w:num>
  <w:num w:numId="39" w16cid:durableId="1477214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0F42BF"/>
    <w:rsid w:val="0010596F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E2E35"/>
    <w:rsid w:val="003206EA"/>
    <w:rsid w:val="003216F5"/>
    <w:rsid w:val="00326DBF"/>
    <w:rsid w:val="0034072D"/>
    <w:rsid w:val="00343EE0"/>
    <w:rsid w:val="00344DC0"/>
    <w:rsid w:val="003577F6"/>
    <w:rsid w:val="003636D3"/>
    <w:rsid w:val="00377228"/>
    <w:rsid w:val="00380750"/>
    <w:rsid w:val="0039168A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A4DF5"/>
    <w:rsid w:val="004A6A3C"/>
    <w:rsid w:val="004B2677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024B"/>
    <w:rsid w:val="0082317E"/>
    <w:rsid w:val="00824E2F"/>
    <w:rsid w:val="00833C7D"/>
    <w:rsid w:val="00836B20"/>
    <w:rsid w:val="00843FF8"/>
    <w:rsid w:val="00844981"/>
    <w:rsid w:val="00864DC2"/>
    <w:rsid w:val="00866906"/>
    <w:rsid w:val="00875978"/>
    <w:rsid w:val="00884487"/>
    <w:rsid w:val="00893CB0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31A3"/>
    <w:rsid w:val="00924AC2"/>
    <w:rsid w:val="009367FD"/>
    <w:rsid w:val="00937BD3"/>
    <w:rsid w:val="0094163C"/>
    <w:rsid w:val="00957C75"/>
    <w:rsid w:val="00961963"/>
    <w:rsid w:val="0098545C"/>
    <w:rsid w:val="00985A76"/>
    <w:rsid w:val="00986827"/>
    <w:rsid w:val="0098791B"/>
    <w:rsid w:val="00990E3D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1378"/>
    <w:rsid w:val="00AE2176"/>
    <w:rsid w:val="00AF792A"/>
    <w:rsid w:val="00B02B66"/>
    <w:rsid w:val="00B3190D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8261B"/>
    <w:rsid w:val="00CB474B"/>
    <w:rsid w:val="00CC381B"/>
    <w:rsid w:val="00CE5E38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D779B"/>
    <w:rsid w:val="00EE2B92"/>
    <w:rsid w:val="00F014EE"/>
    <w:rsid w:val="00F02337"/>
    <w:rsid w:val="00F15F0E"/>
    <w:rsid w:val="00F25632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238417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0770FD5AEE34E54086B184DF378B0961" ma:contentTypeVersion="59" ma:contentTypeDescription="" ma:contentTypeScope="" ma:versionID="b4a0dec4b988c91ba5a1d5cdae69fd76">
  <xsd:schema xmlns:xsd="http://www.w3.org/2001/XMLSchema" xmlns:xs="http://www.w3.org/2001/XMLSchema" xmlns:p="http://schemas.microsoft.com/office/2006/metadata/properties" xmlns:ns1="http://schemas.microsoft.com/sharepoint/v3" xmlns:ns2="a4dce6c6-ae98-4680-b2eb-fddef5bf2a87" xmlns:ns3="d4622e8b-ae39-4084-a6ef-0989140e3fa8" xmlns:ns4="http://schemas.microsoft.com/sharepoint/v4" xmlns:ns5="http://schemas.microsoft.com/sharepoint/v3/fields" targetNamespace="http://schemas.microsoft.com/office/2006/metadata/properties" ma:root="true" ma:fieldsID="b0ca1da76e186ab2705e67f0291e9a47" ns1:_="" ns2:_="" ns3:_="" ns4:_="" ns5:_="">
    <xsd:import namespace="http://schemas.microsoft.com/sharepoint/v3"/>
    <xsd:import namespace="a4dce6c6-ae98-4680-b2eb-fddef5bf2a87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ce6c6-ae98-4680-b2eb-fddef5bf2a87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internalName="Date_x0020_Circulated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list="UserInfo" ma:SharePointGroup="0" ma:internalName="Sen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fa1c76c4-b267-43ac-adf9-d25dc06a661f-0.2</_dlc_DocId>
    <_dlc_DocIdUrl xmlns="d4622e8b-ae39-4084-a6ef-0989140e3fa8">
      <Url>https://sp.bisinfo.org/teams/iais/secretariat/_layouts/15/DocIdRedir.aspx?ID=fa1c76c4-b267-43ac-adf9-d25dc06a661f-0.2</Url>
      <Description>fa1c76c4-b267-43ac-adf9-d25dc06a661f-0.2</Description>
    </_dlc_DocIdUrl>
    <BisAdditionalLinks xmlns="a4dce6c6-ae98-4680-b2eb-fddef5bf2a87" xsi:nil="true"/>
    <BisDocumentDate xmlns="a4dce6c6-ae98-4680-b2eb-fddef5bf2a87">2022-10-11T22:00:00+00:00</BisDocumentDate>
    <BisRecipientsTaxHTField0 xmlns="a4dce6c6-ae98-4680-b2eb-fddef5bf2a87">
      <Terms xmlns="http://schemas.microsoft.com/office/infopath/2007/PartnerControls"/>
    </BisRecipientsTaxHTField0>
    <BisTransmission xmlns="a4dce6c6-ae98-4680-b2eb-fddef5bf2a87">Internal</BisTransmission>
    <BisRetention xmlns="a4dce6c6-ae98-4680-b2eb-fddef5bf2a87">Permanent</BisRetention>
    <IsMyDocuments xmlns="a4dce6c6-ae98-4680-b2eb-fddef5bf2a87">false</IsMyDocuments>
    <BisConfidentiality xmlns="a4dce6c6-ae98-4680-b2eb-fddef5bf2a87">Public</BisConfidentiality>
    <BisInstitutionTaxHTField0 xmlns="a4dce6c6-ae98-4680-b2eb-fddef5bf2a87">
      <Terms xmlns="http://schemas.microsoft.com/office/infopath/2007/PartnerControls"/>
    </BisInstitutionTaxHTField0>
    <BisPermalink xmlns="a4dce6c6-ae98-4680-b2eb-fddef5bf2a87">
      <Url xsi:nil="true"/>
      <Description xsi:nil="true"/>
    </BisPermalink>
    <BisCurrentVersion xmlns="a4dce6c6-ae98-4680-b2eb-fddef5bf2a87" xsi:nil="true"/>
  </documentManagement>
</p:properties>
</file>

<file path=customXml/itemProps1.xml><?xml version="1.0" encoding="utf-8"?>
<ds:datastoreItem xmlns:ds="http://schemas.openxmlformats.org/officeDocument/2006/customXml" ds:itemID="{D3D8C6E0-A4DA-45A4-85E4-4750B774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dce6c6-ae98-4680-b2eb-fddef5bf2a87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6AD340-25AE-4D46-A09C-D02DAF0AB2B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sharepoint/v3/fields"/>
    <ds:schemaRef ds:uri="d4622e8b-ae39-4084-a6ef-0989140e3fa8"/>
    <ds:schemaRef ds:uri="a4dce6c6-ae98-4680-b2eb-fddef5bf2a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3</cp:revision>
  <dcterms:created xsi:type="dcterms:W3CDTF">2024-08-08T08:31:00Z</dcterms:created>
  <dcterms:modified xsi:type="dcterms:W3CDTF">2024-08-08T08:45:00Z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0x01010066E6577C753B40CABFD9C9409CB523E500C1639B71ACB2EC4FB0B8C8831EACAA9F000770FD5AEE34E54086B184DF378B0961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4316afa4-90b2-4a34-bc13-d538f8600998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