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D4E0" w14:textId="77777777" w:rsidR="00D73268" w:rsidRDefault="00D73268" w:rsidP="00D73268">
      <w:pPr>
        <w:pStyle w:val="Title"/>
      </w:pPr>
    </w:p>
    <w:p w14:paraId="712AD60D" w14:textId="69FE885D" w:rsidR="00D73268" w:rsidRDefault="002A1719" w:rsidP="002A1719">
      <w:pPr>
        <w:pStyle w:val="Title"/>
        <w:tabs>
          <w:tab w:val="left" w:pos="7380"/>
        </w:tabs>
        <w:jc w:val="left"/>
      </w:pPr>
      <w:r>
        <w:tab/>
      </w:r>
    </w:p>
    <w:p w14:paraId="3EFE3E9C" w14:textId="77777777" w:rsidR="00D73268" w:rsidRDefault="00D73268" w:rsidP="00D73268">
      <w:pPr>
        <w:pStyle w:val="Title"/>
      </w:pPr>
    </w:p>
    <w:p w14:paraId="436A624E" w14:textId="77777777" w:rsidR="00D73268" w:rsidRDefault="00D73268" w:rsidP="00D73268">
      <w:pPr>
        <w:pStyle w:val="Title"/>
      </w:pPr>
    </w:p>
    <w:p w14:paraId="1C828F9E" w14:textId="77777777" w:rsidR="00D73268" w:rsidRDefault="00D73268" w:rsidP="00D73268">
      <w:pPr>
        <w:pStyle w:val="Title"/>
      </w:pPr>
    </w:p>
    <w:p w14:paraId="74E0C5B3" w14:textId="135BB120" w:rsidR="00B345C9" w:rsidRPr="00B345C9" w:rsidRDefault="004F450E" w:rsidP="00B345C9">
      <w:pPr>
        <w:pStyle w:val="Title"/>
      </w:pPr>
      <w:r>
        <w:t xml:space="preserve">Questions for </w:t>
      </w:r>
      <w:r w:rsidR="00B345C9">
        <w:t>p</w:t>
      </w:r>
      <w:r w:rsidR="00B345C9" w:rsidRPr="00B345C9">
        <w:t xml:space="preserve">ublic consultation on draft </w:t>
      </w:r>
      <w:r w:rsidR="006534F5">
        <w:t>A</w:t>
      </w:r>
      <w:r w:rsidR="00B345C9" w:rsidRPr="00B345C9">
        <w:t xml:space="preserve">pplication </w:t>
      </w:r>
      <w:r w:rsidR="006534F5">
        <w:t>P</w:t>
      </w:r>
      <w:r w:rsidR="00B345C9" w:rsidRPr="00B345C9">
        <w:t xml:space="preserve">aper </w:t>
      </w:r>
      <w:bookmarkStart w:id="0" w:name="_Hlk160202950"/>
      <w:r w:rsidR="00B345C9" w:rsidRPr="00B345C9">
        <w:t xml:space="preserve">on </w:t>
      </w:r>
      <w:bookmarkEnd w:id="0"/>
      <w:r w:rsidR="006534F5">
        <w:t xml:space="preserve">how to achieve fair treatment </w:t>
      </w:r>
      <w:r w:rsidR="00632747">
        <w:t>for</w:t>
      </w:r>
      <w:r w:rsidR="006534F5">
        <w:t xml:space="preserve"> diverse consumers</w:t>
      </w:r>
    </w:p>
    <w:p w14:paraId="3C460DF5" w14:textId="27BE84BF" w:rsidR="006E1B30" w:rsidRPr="006E1B30" w:rsidRDefault="006E1B30" w:rsidP="00CD7BDF">
      <w:pPr>
        <w:pStyle w:val="Title"/>
        <w:ind w:left="0"/>
        <w:jc w:val="both"/>
      </w:pPr>
    </w:p>
    <w:p w14:paraId="42538D58" w14:textId="1A624AFA" w:rsidR="00D73268" w:rsidRDefault="00D73268" w:rsidP="00D73268">
      <w:pPr>
        <w:rPr>
          <w:lang w:eastAsia="en-GB"/>
        </w:rPr>
      </w:pPr>
    </w:p>
    <w:p w14:paraId="47E322C6" w14:textId="77777777" w:rsidR="00D73268" w:rsidRDefault="00D73268" w:rsidP="00D73268">
      <w:pPr>
        <w:rPr>
          <w:lang w:eastAsia="en-GB"/>
        </w:rPr>
      </w:pPr>
    </w:p>
    <w:p w14:paraId="09064075" w14:textId="6D80782E" w:rsidR="00D73268" w:rsidRPr="00CA70DA" w:rsidRDefault="00D73268" w:rsidP="00D73268">
      <w:pPr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</w:t>
      </w:r>
      <w:r w:rsidR="006E1B30">
        <w:rPr>
          <w:lang w:eastAsia="en-GB"/>
        </w:rPr>
        <w:t>p</w:t>
      </w:r>
      <w:r w:rsidR="006E1B30" w:rsidRPr="006E1B30">
        <w:rPr>
          <w:lang w:eastAsia="en-GB"/>
        </w:rPr>
        <w:t xml:space="preserve">ublic consultation on draft application paper </w:t>
      </w:r>
      <w:r w:rsidR="00B87002" w:rsidRPr="00B87002">
        <w:rPr>
          <w:lang w:eastAsia="en-GB"/>
        </w:rPr>
        <w:t xml:space="preserve">on </w:t>
      </w:r>
      <w:r w:rsidR="006534F5">
        <w:rPr>
          <w:lang w:eastAsia="en-GB"/>
        </w:rPr>
        <w:t xml:space="preserve">how to achieve fair treatment </w:t>
      </w:r>
      <w:r w:rsidR="00632747">
        <w:rPr>
          <w:lang w:eastAsia="en-GB"/>
        </w:rPr>
        <w:t>for</w:t>
      </w:r>
      <w:r w:rsidR="006534F5">
        <w:rPr>
          <w:lang w:eastAsia="en-GB"/>
        </w:rPr>
        <w:t xml:space="preserve"> diverse consumers</w:t>
      </w:r>
      <w:r w:rsidR="006E1B30">
        <w:rPr>
          <w:lang w:eastAsia="en-GB"/>
        </w:rPr>
        <w:t xml:space="preserve">. </w:t>
      </w:r>
      <w:r w:rsidRPr="00CA70DA">
        <w:rPr>
          <w:lang w:eastAsia="en-GB"/>
        </w:rPr>
        <w:t xml:space="preserve">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website.</w:t>
      </w:r>
    </w:p>
    <w:p w14:paraId="4FE37529" w14:textId="6FB9EA7B" w:rsidR="00D73268" w:rsidRDefault="00D73268" w:rsidP="00D73268">
      <w:pPr>
        <w:rPr>
          <w:lang w:eastAsia="en-GB"/>
        </w:rPr>
      </w:pPr>
    </w:p>
    <w:p w14:paraId="4A6567BF" w14:textId="77777777" w:rsidR="00D73268" w:rsidRPr="00CA70DA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A70DA" w14:paraId="36368FE6" w14:textId="77777777" w:rsidTr="003029D0">
        <w:tc>
          <w:tcPr>
            <w:tcW w:w="5000" w:type="pct"/>
          </w:tcPr>
          <w:p w14:paraId="6412899F" w14:textId="0073F071" w:rsidR="00D73268" w:rsidRPr="000443E8" w:rsidRDefault="00D73268" w:rsidP="003029D0">
            <w:pPr>
              <w:rPr>
                <w:b/>
                <w:lang w:eastAsia="en-GB"/>
              </w:rPr>
            </w:pPr>
            <w:r w:rsidRPr="000443E8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r w:rsidRPr="00B87002">
              <w:rPr>
                <w:b/>
                <w:lang w:eastAsia="en-GB"/>
              </w:rPr>
              <w:t>Consultation Tool</w:t>
            </w:r>
            <w:r w:rsidRPr="000443E8">
              <w:rPr>
                <w:b/>
                <w:lang w:eastAsia="en-GB"/>
              </w:rPr>
              <w:t xml:space="preserve"> to enable those responses to be considered.</w:t>
            </w:r>
          </w:p>
        </w:tc>
      </w:tr>
    </w:tbl>
    <w:p w14:paraId="663B3D0C" w14:textId="77777777" w:rsidR="00D73268" w:rsidRDefault="00D73268" w:rsidP="00D73268">
      <w:pPr>
        <w:rPr>
          <w:lang w:val="en-US"/>
        </w:rPr>
      </w:pPr>
    </w:p>
    <w:p w14:paraId="2BE4AC20" w14:textId="77777777" w:rsidR="00D73268" w:rsidRPr="00D73268" w:rsidRDefault="00D73268" w:rsidP="00D73268">
      <w:pPr>
        <w:rPr>
          <w:lang w:eastAsia="en-GB"/>
        </w:rPr>
      </w:pPr>
    </w:p>
    <w:p w14:paraId="46AFF8E1" w14:textId="3D84EE06" w:rsidR="00D73268" w:rsidRDefault="00D73268">
      <w:pPr>
        <w:suppressAutoHyphens w:val="0"/>
        <w:spacing w:after="160" w:line="259" w:lineRule="auto"/>
        <w:jc w:val="left"/>
      </w:pPr>
      <w:r>
        <w:br w:type="page"/>
      </w:r>
    </w:p>
    <w:p w14:paraId="170E42F3" w14:textId="37FB81D1" w:rsidR="009D2E6F" w:rsidRDefault="009D2E6F" w:rsidP="005C4629">
      <w:pPr>
        <w:pStyle w:val="IAISContentoverviewtitle"/>
      </w:pPr>
      <w:r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7717E0" w:rsidRPr="00CD7BDF" w14:paraId="159A7BD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2DD4D5A6" w14:textId="77777777" w:rsidR="007717E0" w:rsidRPr="00B87002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663" w:type="dxa"/>
          </w:tcPr>
          <w:p w14:paraId="5914FF7E" w14:textId="427D1C55" w:rsidR="007717E0" w:rsidRPr="00B87002" w:rsidRDefault="00B345C9" w:rsidP="00CD7BDF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 w:rsidRPr="00B87002">
              <w:rPr>
                <w:rFonts w:asciiTheme="majorHAnsi" w:hAnsiTheme="majorHAnsi" w:cstheme="majorHAnsi"/>
                <w:sz w:val="22"/>
                <w:szCs w:val="22"/>
              </w:rPr>
              <w:t xml:space="preserve">General comments on the </w:t>
            </w:r>
            <w:r w:rsidR="00B87002" w:rsidRPr="00B87002">
              <w:rPr>
                <w:rFonts w:asciiTheme="majorHAnsi" w:hAnsiTheme="majorHAnsi" w:cstheme="majorHAnsi"/>
                <w:sz w:val="22"/>
                <w:szCs w:val="22"/>
              </w:rPr>
              <w:t>Application Paper</w:t>
            </w:r>
          </w:p>
        </w:tc>
      </w:tr>
      <w:tr w:rsidR="006534F5" w:rsidRPr="00CD7BDF" w14:paraId="39C4EBBF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628D8C45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663" w:type="dxa"/>
            <w:vAlign w:val="bottom"/>
          </w:tcPr>
          <w:p w14:paraId="6B4B1080" w14:textId="79D32AEC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1.1 Context and objective</w:t>
            </w:r>
          </w:p>
        </w:tc>
      </w:tr>
      <w:tr w:rsidR="006534F5" w:rsidRPr="00CD7BDF" w14:paraId="56806599" w14:textId="77777777" w:rsidTr="00615D5F">
        <w:trPr>
          <w:trHeight w:val="90"/>
        </w:trPr>
        <w:tc>
          <w:tcPr>
            <w:tcW w:w="697" w:type="dxa"/>
            <w:noWrap/>
            <w:hideMark/>
          </w:tcPr>
          <w:p w14:paraId="5294D1EE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contextualSpacing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663" w:type="dxa"/>
            <w:vAlign w:val="bottom"/>
          </w:tcPr>
          <w:p w14:paraId="3246859B" w14:textId="0CB4C80F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Comments on Box 1: Interpretation of key terms in this paper </w:t>
            </w:r>
          </w:p>
        </w:tc>
      </w:tr>
      <w:tr w:rsidR="006534F5" w:rsidRPr="00CD7BDF" w14:paraId="0FD0C690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16C673B4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663" w:type="dxa"/>
            <w:vAlign w:val="bottom"/>
          </w:tcPr>
          <w:p w14:paraId="5651810D" w14:textId="50D5AB43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1.2 Related work by the IAIS</w:t>
            </w:r>
          </w:p>
        </w:tc>
      </w:tr>
      <w:tr w:rsidR="006534F5" w:rsidRPr="00CD7BDF" w14:paraId="27C649E3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575E38EF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663" w:type="dxa"/>
            <w:vAlign w:val="bottom"/>
          </w:tcPr>
          <w:p w14:paraId="54BB129F" w14:textId="239AF4C2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1.3 Proportionality and jurisdictional specificities</w:t>
            </w:r>
          </w:p>
        </w:tc>
      </w:tr>
      <w:tr w:rsidR="006534F5" w:rsidRPr="00CD7BDF" w14:paraId="29271329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7D0D410F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663" w:type="dxa"/>
            <w:vAlign w:val="bottom"/>
          </w:tcPr>
          <w:p w14:paraId="0085D41D" w14:textId="140D5FF2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1.4 Scope of this application paper</w:t>
            </w:r>
          </w:p>
        </w:tc>
      </w:tr>
      <w:tr w:rsidR="006534F5" w:rsidRPr="00CD7BDF" w14:paraId="0B2A485D" w14:textId="77777777" w:rsidTr="00615D5F">
        <w:trPr>
          <w:trHeight w:val="90"/>
        </w:trPr>
        <w:tc>
          <w:tcPr>
            <w:tcW w:w="697" w:type="dxa"/>
            <w:noWrap/>
            <w:hideMark/>
          </w:tcPr>
          <w:p w14:paraId="5B16CF54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8663" w:type="dxa"/>
            <w:vAlign w:val="bottom"/>
          </w:tcPr>
          <w:p w14:paraId="151CC124" w14:textId="3E6BC8ED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2.1 Risk-based pricing and DEI</w:t>
            </w:r>
          </w:p>
        </w:tc>
      </w:tr>
      <w:tr w:rsidR="006534F5" w:rsidRPr="00CD7BDF" w14:paraId="0FB3DA45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7026D9CB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663" w:type="dxa"/>
            <w:vAlign w:val="bottom"/>
          </w:tcPr>
          <w:p w14:paraId="1D7E41ED" w14:textId="7366218F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2.2 Insurer’s autonomy to decide the scope of its business and DEI</w:t>
            </w:r>
          </w:p>
        </w:tc>
      </w:tr>
      <w:tr w:rsidR="006534F5" w:rsidRPr="00CD7BDF" w14:paraId="369409E2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01C95340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663" w:type="dxa"/>
            <w:vAlign w:val="bottom"/>
          </w:tcPr>
          <w:p w14:paraId="238B6AFC" w14:textId="3344AB30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3 Risk of unfair treatment of diverse consumers</w:t>
            </w:r>
          </w:p>
        </w:tc>
      </w:tr>
      <w:tr w:rsidR="006534F5" w:rsidRPr="00CD7BDF" w14:paraId="2E1342C6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684C06C1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8663" w:type="dxa"/>
            <w:vAlign w:val="bottom"/>
          </w:tcPr>
          <w:p w14:paraId="47AC0A48" w14:textId="74304BB1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3.1 What we mean by diverse consumers</w:t>
            </w:r>
          </w:p>
        </w:tc>
      </w:tr>
      <w:tr w:rsidR="006534F5" w:rsidRPr="00CD7BDF" w14:paraId="629858DC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33F57EDF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663" w:type="dxa"/>
            <w:vAlign w:val="bottom"/>
          </w:tcPr>
          <w:p w14:paraId="6C10FBCA" w14:textId="2DE5E963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3.2 How unfair treatment arises</w:t>
            </w:r>
          </w:p>
        </w:tc>
      </w:tr>
      <w:tr w:rsidR="006534F5" w:rsidRPr="00CD7BDF" w14:paraId="27D93166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0995E018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8663" w:type="dxa"/>
            <w:vAlign w:val="bottom"/>
          </w:tcPr>
          <w:p w14:paraId="55C2A8F9" w14:textId="2A089F30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Comments on Box 2: Examples of diverse consumers excluded from insurance products or encountering difficulties </w:t>
            </w:r>
          </w:p>
        </w:tc>
      </w:tr>
      <w:tr w:rsidR="006534F5" w:rsidRPr="00B87002" w14:paraId="29C6D4A7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5248E0D5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663" w:type="dxa"/>
            <w:vAlign w:val="bottom"/>
          </w:tcPr>
          <w:p w14:paraId="50E62FDB" w14:textId="66ED70B5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 Implementation of ICP 19 to drive fair treatment of diverse consumers</w:t>
            </w:r>
          </w:p>
        </w:tc>
      </w:tr>
      <w:tr w:rsidR="006534F5" w:rsidRPr="00CD7BDF" w14:paraId="7569AFD0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4BD8DA51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663" w:type="dxa"/>
            <w:vAlign w:val="bottom"/>
          </w:tcPr>
          <w:p w14:paraId="593C327C" w14:textId="190E8098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4.1 Embedding fair treatment of diverse consumers into the business culture</w:t>
            </w:r>
          </w:p>
        </w:tc>
      </w:tr>
      <w:tr w:rsidR="006534F5" w:rsidRPr="00CD7BDF" w14:paraId="38FF6E28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728AA68F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663" w:type="dxa"/>
            <w:vAlign w:val="bottom"/>
          </w:tcPr>
          <w:p w14:paraId="4C24C0A6" w14:textId="1C70CBAF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Box 3: Unconscious biases and stereotypes</w:t>
            </w:r>
          </w:p>
        </w:tc>
      </w:tr>
      <w:tr w:rsidR="006534F5" w:rsidRPr="00CD7BDF" w14:paraId="636465E1" w14:textId="77777777" w:rsidTr="00615D5F">
        <w:trPr>
          <w:trHeight w:val="90"/>
        </w:trPr>
        <w:tc>
          <w:tcPr>
            <w:tcW w:w="697" w:type="dxa"/>
            <w:noWrap/>
            <w:hideMark/>
          </w:tcPr>
          <w:p w14:paraId="3A31C3CE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8663" w:type="dxa"/>
            <w:vAlign w:val="bottom"/>
          </w:tcPr>
          <w:p w14:paraId="2231966C" w14:textId="4F817860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4.2 Ensuring the fair treatment of diverse consumers in product design</w:t>
            </w:r>
          </w:p>
        </w:tc>
      </w:tr>
      <w:tr w:rsidR="006534F5" w:rsidRPr="00CD7BDF" w14:paraId="5444ED25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1DA54EDE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663" w:type="dxa"/>
            <w:vAlign w:val="bottom"/>
          </w:tcPr>
          <w:p w14:paraId="69CF643A" w14:textId="0B172C6E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4.2.1 Identifying whether there are diverse consumers within the targeted consumers</w:t>
            </w:r>
          </w:p>
        </w:tc>
      </w:tr>
      <w:tr w:rsidR="006534F5" w:rsidRPr="00CD7BDF" w14:paraId="625A24C0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734A89BE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663" w:type="dxa"/>
            <w:vAlign w:val="bottom"/>
          </w:tcPr>
          <w:p w14:paraId="0D932E0B" w14:textId="6E08FD3D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4.2.2 Determining whether the coverage, benefits, disclosures and pricing are aligned to the needs of the diverse consumers amongst the target group</w:t>
            </w:r>
          </w:p>
        </w:tc>
      </w:tr>
      <w:tr w:rsidR="006534F5" w:rsidRPr="00CD7BDF" w14:paraId="336A0A8D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3740C1E7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8663" w:type="dxa"/>
            <w:vAlign w:val="bottom"/>
          </w:tcPr>
          <w:p w14:paraId="4A5B80D3" w14:textId="01CC2EC9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Comments on Box 4: Considerations on technology and data </w:t>
            </w:r>
          </w:p>
        </w:tc>
      </w:tr>
      <w:tr w:rsidR="006534F5" w:rsidRPr="00CD7BDF" w14:paraId="741306ED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06238C48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8663" w:type="dxa"/>
            <w:vAlign w:val="bottom"/>
          </w:tcPr>
          <w:p w14:paraId="1CC95D75" w14:textId="4BA4FE64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4.2.3 Designing appropriate product distribution methods</w:t>
            </w:r>
          </w:p>
        </w:tc>
      </w:tr>
      <w:tr w:rsidR="006534F5" w:rsidRPr="00CD7BDF" w14:paraId="2B1191C7" w14:textId="77777777" w:rsidTr="00615D5F">
        <w:trPr>
          <w:trHeight w:val="290"/>
        </w:trPr>
        <w:tc>
          <w:tcPr>
            <w:tcW w:w="697" w:type="dxa"/>
            <w:noWrap/>
            <w:hideMark/>
          </w:tcPr>
          <w:p w14:paraId="18FD9F7F" w14:textId="77777777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 w:rsidRPr="00B87002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8663" w:type="dxa"/>
            <w:vAlign w:val="bottom"/>
          </w:tcPr>
          <w:p w14:paraId="54DC861B" w14:textId="4DE85991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4.3 Securing appropriate sales and distribution to diverse consumers</w:t>
            </w:r>
          </w:p>
        </w:tc>
      </w:tr>
      <w:tr w:rsidR="006534F5" w:rsidRPr="00CD7BDF" w14:paraId="564D24AE" w14:textId="77777777" w:rsidTr="00615D5F">
        <w:trPr>
          <w:trHeight w:val="290"/>
        </w:trPr>
        <w:tc>
          <w:tcPr>
            <w:tcW w:w="697" w:type="dxa"/>
            <w:noWrap/>
          </w:tcPr>
          <w:p w14:paraId="4B78804F" w14:textId="09D4989B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663" w:type="dxa"/>
            <w:vAlign w:val="bottom"/>
          </w:tcPr>
          <w:p w14:paraId="68DF36FB" w14:textId="34750281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4.3.1 Marketing communications and disclosures that account for diverse consumers</w:t>
            </w:r>
          </w:p>
        </w:tc>
      </w:tr>
      <w:tr w:rsidR="006534F5" w:rsidRPr="00CD7BDF" w14:paraId="788BEDD3" w14:textId="77777777" w:rsidTr="00615D5F">
        <w:trPr>
          <w:trHeight w:val="290"/>
        </w:trPr>
        <w:tc>
          <w:tcPr>
            <w:tcW w:w="697" w:type="dxa"/>
            <w:noWrap/>
          </w:tcPr>
          <w:p w14:paraId="49B97301" w14:textId="5EE5B492" w:rsidR="006534F5" w:rsidRPr="00B87002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8663" w:type="dxa"/>
            <w:vAlign w:val="bottom"/>
          </w:tcPr>
          <w:p w14:paraId="6A7DD61C" w14:textId="4E3B8518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4.3.2 Deploying the distribution strategy appropriately</w:t>
            </w:r>
          </w:p>
        </w:tc>
      </w:tr>
      <w:tr w:rsidR="006534F5" w:rsidRPr="00CD7BDF" w14:paraId="225CA977" w14:textId="77777777" w:rsidTr="00615D5F">
        <w:trPr>
          <w:trHeight w:val="290"/>
        </w:trPr>
        <w:tc>
          <w:tcPr>
            <w:tcW w:w="697" w:type="dxa"/>
            <w:noWrap/>
          </w:tcPr>
          <w:p w14:paraId="4EC04787" w14:textId="4FFFC84F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8663" w:type="dxa"/>
            <w:vAlign w:val="bottom"/>
          </w:tcPr>
          <w:p w14:paraId="4184E547" w14:textId="0D9609B9" w:rsidR="006534F5" w:rsidRPr="00B87002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Comments on Box 5: The human approach </w:t>
            </w:r>
          </w:p>
        </w:tc>
      </w:tr>
      <w:tr w:rsidR="006534F5" w:rsidRPr="00CD7BDF" w14:paraId="50813334" w14:textId="77777777" w:rsidTr="00615D5F">
        <w:trPr>
          <w:trHeight w:val="290"/>
        </w:trPr>
        <w:tc>
          <w:tcPr>
            <w:tcW w:w="697" w:type="dxa"/>
            <w:noWrap/>
          </w:tcPr>
          <w:p w14:paraId="0DF77050" w14:textId="07B6DF02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25</w:t>
            </w:r>
          </w:p>
        </w:tc>
        <w:tc>
          <w:tcPr>
            <w:tcW w:w="8663" w:type="dxa"/>
            <w:vAlign w:val="bottom"/>
          </w:tcPr>
          <w:p w14:paraId="689C554C" w14:textId="5932AA29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4.3.3 Advice and suitability for diverse consumers</w:t>
            </w:r>
          </w:p>
        </w:tc>
      </w:tr>
      <w:tr w:rsidR="006534F5" w:rsidRPr="00CD7BDF" w14:paraId="296345B1" w14:textId="77777777" w:rsidTr="00615D5F">
        <w:trPr>
          <w:trHeight w:val="290"/>
        </w:trPr>
        <w:tc>
          <w:tcPr>
            <w:tcW w:w="697" w:type="dxa"/>
            <w:noWrap/>
          </w:tcPr>
          <w:p w14:paraId="7311FE8D" w14:textId="7DD1157F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8663" w:type="dxa"/>
            <w:vAlign w:val="bottom"/>
          </w:tcPr>
          <w:p w14:paraId="145F5C43" w14:textId="237FEDC3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4.4 After-sale servicing, product monitoring and review</w:t>
            </w:r>
          </w:p>
        </w:tc>
      </w:tr>
      <w:tr w:rsidR="006534F5" w:rsidRPr="00CD7BDF" w14:paraId="4D4161F2" w14:textId="77777777" w:rsidTr="00615D5F">
        <w:trPr>
          <w:trHeight w:val="290"/>
        </w:trPr>
        <w:tc>
          <w:tcPr>
            <w:tcW w:w="697" w:type="dxa"/>
            <w:noWrap/>
          </w:tcPr>
          <w:p w14:paraId="328660B1" w14:textId="451DCE4B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8663" w:type="dxa"/>
            <w:vAlign w:val="bottom"/>
          </w:tcPr>
          <w:p w14:paraId="6838271D" w14:textId="108B252C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4.4.1 Communication and assistance that account for diverse customers</w:t>
            </w:r>
          </w:p>
        </w:tc>
      </w:tr>
      <w:tr w:rsidR="006534F5" w:rsidRPr="00CD7BDF" w14:paraId="4EDC8A89" w14:textId="77777777" w:rsidTr="00615D5F">
        <w:trPr>
          <w:trHeight w:val="290"/>
        </w:trPr>
        <w:tc>
          <w:tcPr>
            <w:tcW w:w="697" w:type="dxa"/>
            <w:noWrap/>
          </w:tcPr>
          <w:p w14:paraId="7B0FD82B" w14:textId="13932F52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8663" w:type="dxa"/>
            <w:vAlign w:val="bottom"/>
          </w:tcPr>
          <w:p w14:paraId="29E4F01E" w14:textId="4A2549F6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4.4.2 Product monitoring and review that detects and addresses unfair treatment of diverse customers</w:t>
            </w:r>
          </w:p>
        </w:tc>
      </w:tr>
      <w:tr w:rsidR="006534F5" w:rsidRPr="00CD7BDF" w14:paraId="13D2C596" w14:textId="77777777" w:rsidTr="00615D5F">
        <w:trPr>
          <w:trHeight w:val="290"/>
        </w:trPr>
        <w:tc>
          <w:tcPr>
            <w:tcW w:w="697" w:type="dxa"/>
            <w:noWrap/>
          </w:tcPr>
          <w:p w14:paraId="7944079F" w14:textId="1C1AC5DC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8663" w:type="dxa"/>
            <w:vAlign w:val="bottom"/>
          </w:tcPr>
          <w:p w14:paraId="41E5469D" w14:textId="1819428C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4.4.3 Claims procedures that are inclusive</w:t>
            </w:r>
          </w:p>
        </w:tc>
      </w:tr>
      <w:tr w:rsidR="006534F5" w:rsidRPr="00CD7BDF" w14:paraId="7C7A8363" w14:textId="77777777" w:rsidTr="00615D5F">
        <w:trPr>
          <w:trHeight w:val="290"/>
        </w:trPr>
        <w:tc>
          <w:tcPr>
            <w:tcW w:w="697" w:type="dxa"/>
            <w:noWrap/>
          </w:tcPr>
          <w:p w14:paraId="722991FA" w14:textId="5CDFFDD2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8663" w:type="dxa"/>
            <w:vAlign w:val="bottom"/>
          </w:tcPr>
          <w:p w14:paraId="3FD228F8" w14:textId="57CFE062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4.4.4 Complaints procedures that are inclusive</w:t>
            </w:r>
          </w:p>
        </w:tc>
      </w:tr>
      <w:tr w:rsidR="006534F5" w:rsidRPr="00CD7BDF" w14:paraId="3F202924" w14:textId="77777777" w:rsidTr="00615D5F">
        <w:trPr>
          <w:trHeight w:val="290"/>
        </w:trPr>
        <w:tc>
          <w:tcPr>
            <w:tcW w:w="697" w:type="dxa"/>
            <w:noWrap/>
          </w:tcPr>
          <w:p w14:paraId="65A4E1F4" w14:textId="29E1D5B2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8663" w:type="dxa"/>
            <w:vAlign w:val="bottom"/>
          </w:tcPr>
          <w:p w14:paraId="017D4DD9" w14:textId="580744A8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4.5 Working towards greater inclusion of diverse consumers across the insurance sector</w:t>
            </w:r>
          </w:p>
        </w:tc>
      </w:tr>
      <w:tr w:rsidR="006534F5" w:rsidRPr="00CD7BDF" w14:paraId="14C2B5B3" w14:textId="77777777" w:rsidTr="00615D5F">
        <w:trPr>
          <w:trHeight w:val="290"/>
        </w:trPr>
        <w:tc>
          <w:tcPr>
            <w:tcW w:w="697" w:type="dxa"/>
            <w:noWrap/>
          </w:tcPr>
          <w:p w14:paraId="2A23115D" w14:textId="54122AF8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8663" w:type="dxa"/>
            <w:vAlign w:val="bottom"/>
          </w:tcPr>
          <w:p w14:paraId="1E5DEFBC" w14:textId="4D33B777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4.5.1 Shaping the supervisory landscape</w:t>
            </w:r>
          </w:p>
        </w:tc>
      </w:tr>
      <w:tr w:rsidR="006534F5" w:rsidRPr="00CD7BDF" w14:paraId="1D0A03BF" w14:textId="77777777" w:rsidTr="00615D5F">
        <w:trPr>
          <w:trHeight w:val="290"/>
        </w:trPr>
        <w:tc>
          <w:tcPr>
            <w:tcW w:w="697" w:type="dxa"/>
            <w:noWrap/>
          </w:tcPr>
          <w:p w14:paraId="610FEF9B" w14:textId="54F81B14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8663" w:type="dxa"/>
            <w:vAlign w:val="bottom"/>
          </w:tcPr>
          <w:p w14:paraId="3B67ED5E" w14:textId="44859D80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4.5.2 Facilitating market development</w:t>
            </w:r>
          </w:p>
        </w:tc>
      </w:tr>
      <w:tr w:rsidR="006534F5" w:rsidRPr="00CD7BDF" w14:paraId="51BFB48B" w14:textId="77777777" w:rsidTr="00615D5F">
        <w:trPr>
          <w:trHeight w:val="290"/>
        </w:trPr>
        <w:tc>
          <w:tcPr>
            <w:tcW w:w="697" w:type="dxa"/>
            <w:noWrap/>
          </w:tcPr>
          <w:p w14:paraId="2B3FC7C7" w14:textId="082D14DA" w:rsidR="006534F5" w:rsidRDefault="006534F5" w:rsidP="006534F5">
            <w:pPr>
              <w:suppressAutoHyphens w:val="0"/>
              <w:spacing w:beforeLines="20" w:before="48" w:afterLines="20" w:after="48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8663" w:type="dxa"/>
            <w:vAlign w:val="bottom"/>
          </w:tcPr>
          <w:p w14:paraId="48DFEE24" w14:textId="4418D841" w:rsidR="006534F5" w:rsidRDefault="006534F5" w:rsidP="006534F5">
            <w:pPr>
              <w:pStyle w:val="Default"/>
              <w:spacing w:beforeLines="20" w:before="48" w:afterLines="20" w:after="48"/>
              <w:ind w:left="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Comments on section 5 Conclusion</w:t>
            </w:r>
          </w:p>
        </w:tc>
      </w:tr>
    </w:tbl>
    <w:p w14:paraId="522AFBA5" w14:textId="40FA16E2" w:rsidR="00115BFD" w:rsidRPr="00AA718C" w:rsidRDefault="00115BFD" w:rsidP="00115BFD"/>
    <w:sectPr w:rsidR="00115BFD" w:rsidRPr="00AA718C" w:rsidSect="007A105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1FF0" w14:textId="77777777" w:rsidR="00E055B6" w:rsidRDefault="00E055B6" w:rsidP="004309A5">
      <w:pPr>
        <w:spacing w:after="0" w:line="240" w:lineRule="auto"/>
      </w:pPr>
      <w:r>
        <w:separator/>
      </w:r>
    </w:p>
    <w:p w14:paraId="4D68ED10" w14:textId="77777777" w:rsidR="00E055B6" w:rsidRDefault="00E055B6"/>
  </w:endnote>
  <w:endnote w:type="continuationSeparator" w:id="0">
    <w:p w14:paraId="46505A3A" w14:textId="77777777" w:rsidR="00E055B6" w:rsidRDefault="00E055B6" w:rsidP="004309A5">
      <w:pPr>
        <w:spacing w:after="0" w:line="240" w:lineRule="auto"/>
      </w:pPr>
      <w:r>
        <w:continuationSeparator/>
      </w:r>
    </w:p>
    <w:p w14:paraId="13A22E4D" w14:textId="77777777" w:rsidR="00E055B6" w:rsidRDefault="00E055B6"/>
  </w:endnote>
  <w:endnote w:type="continuationNotice" w:id="1">
    <w:p w14:paraId="0662BC24" w14:textId="77777777" w:rsidR="00E055B6" w:rsidRDefault="00E05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00C863D8" w14:textId="7CA41073" w:rsidR="006534F5" w:rsidRDefault="006534F5" w:rsidP="006534F5">
          <w:pPr>
            <w:pStyle w:val="Footer"/>
            <w:ind w:left="40"/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B345C9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Questions for public consultation on draft </w:t>
          </w:r>
          <w:r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A</w:t>
          </w:r>
          <w:r w:rsidRPr="00B345C9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pplication </w:t>
          </w:r>
          <w:r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</w:t>
          </w:r>
          <w:r w:rsidRPr="00B345C9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aper </w:t>
          </w:r>
          <w:r w:rsidRPr="00B87002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on </w:t>
          </w:r>
          <w:r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how to achieve fair treatment </w:t>
          </w:r>
          <w:r w:rsidR="00632747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for</w:t>
          </w:r>
          <w:r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diverse consumers</w:t>
          </w:r>
        </w:p>
        <w:p w14:paraId="192D2260" w14:textId="71E8CC85" w:rsidR="0014477C" w:rsidRPr="00BC65FE" w:rsidRDefault="006534F5" w:rsidP="006534F5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</w:t>
          </w:r>
          <w:r w:rsidR="0063274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5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June 2024 – 2</w:t>
          </w:r>
          <w:r w:rsidR="0063274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5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September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8D2CCD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75CF73CF" w14:textId="4872E3A7" w:rsidR="00A001AC" w:rsidRDefault="00B345C9" w:rsidP="006534F5">
          <w:pPr>
            <w:pStyle w:val="Footer"/>
            <w:ind w:left="40"/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B345C9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Questions for public consultation on draft</w:t>
          </w:r>
          <w:r w:rsidR="006534F5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A</w:t>
          </w:r>
          <w:r w:rsidRPr="00B345C9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pplication </w:t>
          </w:r>
          <w:r w:rsidR="006534F5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</w:t>
          </w:r>
          <w:r w:rsidRPr="00B345C9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aper </w:t>
          </w:r>
          <w:r w:rsidR="00B87002" w:rsidRPr="00B87002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on </w:t>
          </w:r>
          <w:r w:rsidR="006534F5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how to achieve fair treatment </w:t>
          </w:r>
          <w:r w:rsidR="00632747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for</w:t>
          </w:r>
          <w:r w:rsidR="006534F5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diverse consumers</w:t>
          </w:r>
        </w:p>
        <w:p w14:paraId="1AB3CA5F" w14:textId="45384867" w:rsidR="006534F5" w:rsidRPr="006534F5" w:rsidRDefault="006534F5" w:rsidP="006534F5">
          <w:pPr>
            <w:pStyle w:val="Footer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</w:t>
          </w:r>
          <w:r w:rsidR="0063274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5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June 2024 – 2</w:t>
          </w:r>
          <w:r w:rsidR="0063274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5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September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55FEE3" id="Rechteck 25" o:spid="_x0000_s1026" style="position:absolute;margin-left:958pt;margin-top:-107.15pt;width:57.6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C8C4" w14:textId="77777777" w:rsidR="00E055B6" w:rsidRDefault="00E055B6" w:rsidP="004309A5">
      <w:pPr>
        <w:spacing w:after="0" w:line="240" w:lineRule="auto"/>
      </w:pPr>
      <w:r>
        <w:separator/>
      </w:r>
    </w:p>
    <w:p w14:paraId="2380F4E6" w14:textId="77777777" w:rsidR="00E055B6" w:rsidRDefault="00E055B6"/>
  </w:footnote>
  <w:footnote w:type="continuationSeparator" w:id="0">
    <w:p w14:paraId="2142FA8A" w14:textId="77777777" w:rsidR="00E055B6" w:rsidRDefault="00E055B6" w:rsidP="004309A5">
      <w:pPr>
        <w:spacing w:after="0" w:line="240" w:lineRule="auto"/>
      </w:pPr>
      <w:r>
        <w:continuationSeparator/>
      </w:r>
    </w:p>
    <w:p w14:paraId="21923E8D" w14:textId="77777777" w:rsidR="00E055B6" w:rsidRDefault="00E055B6"/>
  </w:footnote>
  <w:footnote w:type="continuationNotice" w:id="1">
    <w:p w14:paraId="1345A266" w14:textId="77777777" w:rsidR="00E055B6" w:rsidRDefault="00E05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D3A0" w14:textId="218EED4D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342" w14:textId="3BBB4D30" w:rsidR="007A1058" w:rsidRPr="007A1058" w:rsidRDefault="007A1058" w:rsidP="007A1058">
    <w:pPr>
      <w:pStyle w:val="Header"/>
    </w:pPr>
    <w:bookmarkStart w:id="1" w:name="_Hlk107762318"/>
    <w:bookmarkStart w:id="2" w:name="_Hlk107762319"/>
    <w:bookmarkStart w:id="3" w:name="_Hlk107762334"/>
    <w:bookmarkStart w:id="4" w:name="_Hlk107762335"/>
    <w:bookmarkStart w:id="5" w:name="_Hlk107762336"/>
    <w:bookmarkStart w:id="6" w:name="_Hlk107762337"/>
    <w:bookmarkStart w:id="7" w:name="_Hlk107762338"/>
    <w:bookmarkStart w:id="8" w:name="_Hlk107762339"/>
    <w:bookmarkStart w:id="9" w:name="_Hlk107762341"/>
    <w:bookmarkStart w:id="10" w:name="_Hlk107762342"/>
    <w:bookmarkStart w:id="11" w:name="_Hlk107762343"/>
    <w:bookmarkStart w:id="12" w:name="_Hlk107762344"/>
    <w:bookmarkStart w:id="13" w:name="_Hlk107762470"/>
    <w:bookmarkStart w:id="14" w:name="_Hlk107762471"/>
    <w:bookmarkStart w:id="15" w:name="_Hlk107762473"/>
    <w:bookmarkStart w:id="16" w:name="_Hlk107762474"/>
    <w:bookmarkStart w:id="17" w:name="_Hlk107762484"/>
    <w:bookmarkStart w:id="18" w:name="_Hlk107762485"/>
    <w:bookmarkStart w:id="19" w:name="_Hlk111800973"/>
    <w:bookmarkStart w:id="20" w:name="_Hlk111800974"/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bookmarkEnd w:id="19"/>
  <w:bookmarkEnd w:id="20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107B"/>
    <w:multiLevelType w:val="hybridMultilevel"/>
    <w:tmpl w:val="31E4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66B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20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00EA7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B28F1"/>
    <w:multiLevelType w:val="multilevel"/>
    <w:tmpl w:val="13146CE4"/>
    <w:numStyleLink w:val="IAISnumberedlist"/>
  </w:abstractNum>
  <w:abstractNum w:abstractNumId="25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C5D40"/>
    <w:multiLevelType w:val="multilevel"/>
    <w:tmpl w:val="13146CE4"/>
    <w:numStyleLink w:val="IAISnumberedlist"/>
  </w:abstractNum>
  <w:abstractNum w:abstractNumId="34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67631">
    <w:abstractNumId w:val="5"/>
  </w:num>
  <w:num w:numId="2" w16cid:durableId="740106675">
    <w:abstractNumId w:val="9"/>
  </w:num>
  <w:num w:numId="3" w16cid:durableId="1554849046">
    <w:abstractNumId w:val="35"/>
  </w:num>
  <w:num w:numId="4" w16cid:durableId="491801228">
    <w:abstractNumId w:val="20"/>
  </w:num>
  <w:num w:numId="5" w16cid:durableId="1653362555">
    <w:abstractNumId w:val="0"/>
  </w:num>
  <w:num w:numId="6" w16cid:durableId="1188524216">
    <w:abstractNumId w:val="24"/>
  </w:num>
  <w:num w:numId="7" w16cid:durableId="1896046096">
    <w:abstractNumId w:val="32"/>
  </w:num>
  <w:num w:numId="8" w16cid:durableId="1298144107">
    <w:abstractNumId w:val="19"/>
  </w:num>
  <w:num w:numId="9" w16cid:durableId="320352546">
    <w:abstractNumId w:val="7"/>
  </w:num>
  <w:num w:numId="10" w16cid:durableId="1700207105">
    <w:abstractNumId w:val="22"/>
  </w:num>
  <w:num w:numId="11" w16cid:durableId="637146475">
    <w:abstractNumId w:val="29"/>
  </w:num>
  <w:num w:numId="12" w16cid:durableId="23555840">
    <w:abstractNumId w:val="36"/>
  </w:num>
  <w:num w:numId="13" w16cid:durableId="1223904716">
    <w:abstractNumId w:val="7"/>
    <w:lvlOverride w:ilvl="0">
      <w:startOverride w:val="1"/>
    </w:lvlOverride>
  </w:num>
  <w:num w:numId="14" w16cid:durableId="1497647408">
    <w:abstractNumId w:val="7"/>
    <w:lvlOverride w:ilvl="0">
      <w:startOverride w:val="1"/>
    </w:lvlOverride>
  </w:num>
  <w:num w:numId="15" w16cid:durableId="975646841">
    <w:abstractNumId w:val="8"/>
  </w:num>
  <w:num w:numId="16" w16cid:durableId="1934580977">
    <w:abstractNumId w:val="4"/>
  </w:num>
  <w:num w:numId="17" w16cid:durableId="49498567">
    <w:abstractNumId w:val="27"/>
  </w:num>
  <w:num w:numId="18" w16cid:durableId="1430196376">
    <w:abstractNumId w:val="10"/>
  </w:num>
  <w:num w:numId="19" w16cid:durableId="1509323048">
    <w:abstractNumId w:val="2"/>
  </w:num>
  <w:num w:numId="20" w16cid:durableId="1416584604">
    <w:abstractNumId w:val="33"/>
  </w:num>
  <w:num w:numId="21" w16cid:durableId="846137948">
    <w:abstractNumId w:val="6"/>
  </w:num>
  <w:num w:numId="22" w16cid:durableId="1154878266">
    <w:abstractNumId w:val="31"/>
  </w:num>
  <w:num w:numId="23" w16cid:durableId="1755197833">
    <w:abstractNumId w:val="30"/>
  </w:num>
  <w:num w:numId="24" w16cid:durableId="1941715826">
    <w:abstractNumId w:val="13"/>
  </w:num>
  <w:num w:numId="25" w16cid:durableId="2045211716">
    <w:abstractNumId w:val="12"/>
  </w:num>
  <w:num w:numId="26" w16cid:durableId="1332366288">
    <w:abstractNumId w:val="34"/>
  </w:num>
  <w:num w:numId="27" w16cid:durableId="1927612661">
    <w:abstractNumId w:val="21"/>
  </w:num>
  <w:num w:numId="28" w16cid:durableId="1412964571">
    <w:abstractNumId w:val="30"/>
    <w:lvlOverride w:ilvl="0">
      <w:startOverride w:val="1"/>
    </w:lvlOverride>
  </w:num>
  <w:num w:numId="29" w16cid:durableId="392898414">
    <w:abstractNumId w:val="11"/>
  </w:num>
  <w:num w:numId="30" w16cid:durableId="1271663999">
    <w:abstractNumId w:val="25"/>
  </w:num>
  <w:num w:numId="31" w16cid:durableId="368607102">
    <w:abstractNumId w:val="3"/>
  </w:num>
  <w:num w:numId="32" w16cid:durableId="251356666">
    <w:abstractNumId w:val="16"/>
  </w:num>
  <w:num w:numId="33" w16cid:durableId="1248618538">
    <w:abstractNumId w:val="14"/>
  </w:num>
  <w:num w:numId="34" w16cid:durableId="1461149664">
    <w:abstractNumId w:val="15"/>
  </w:num>
  <w:num w:numId="35" w16cid:durableId="1998534574">
    <w:abstractNumId w:val="28"/>
  </w:num>
  <w:num w:numId="36" w16cid:durableId="1136067967">
    <w:abstractNumId w:val="1"/>
  </w:num>
  <w:num w:numId="37" w16cid:durableId="68289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097573">
    <w:abstractNumId w:val="26"/>
  </w:num>
  <w:num w:numId="39" w16cid:durableId="1477214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3172394">
    <w:abstractNumId w:val="17"/>
  </w:num>
  <w:num w:numId="41" w16cid:durableId="2133353945">
    <w:abstractNumId w:val="18"/>
  </w:num>
  <w:num w:numId="42" w16cid:durableId="18462429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24A4B"/>
    <w:rsid w:val="00037989"/>
    <w:rsid w:val="0004027E"/>
    <w:rsid w:val="00053773"/>
    <w:rsid w:val="00055BF0"/>
    <w:rsid w:val="00060C34"/>
    <w:rsid w:val="000628D9"/>
    <w:rsid w:val="00065353"/>
    <w:rsid w:val="0007207A"/>
    <w:rsid w:val="000931D7"/>
    <w:rsid w:val="000C18E0"/>
    <w:rsid w:val="000D78BB"/>
    <w:rsid w:val="000F1D9D"/>
    <w:rsid w:val="000F42BF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A25D1"/>
    <w:rsid w:val="001A3F42"/>
    <w:rsid w:val="00200C09"/>
    <w:rsid w:val="002139D1"/>
    <w:rsid w:val="0021640B"/>
    <w:rsid w:val="002230E8"/>
    <w:rsid w:val="00233E79"/>
    <w:rsid w:val="002463AD"/>
    <w:rsid w:val="002506B5"/>
    <w:rsid w:val="002668CA"/>
    <w:rsid w:val="002704D6"/>
    <w:rsid w:val="00291BB8"/>
    <w:rsid w:val="00293091"/>
    <w:rsid w:val="002A1719"/>
    <w:rsid w:val="002B5032"/>
    <w:rsid w:val="002E2E35"/>
    <w:rsid w:val="003216F5"/>
    <w:rsid w:val="0034072D"/>
    <w:rsid w:val="00343EE0"/>
    <w:rsid w:val="00344DC0"/>
    <w:rsid w:val="003577F6"/>
    <w:rsid w:val="003636D3"/>
    <w:rsid w:val="00377228"/>
    <w:rsid w:val="00380750"/>
    <w:rsid w:val="00394A78"/>
    <w:rsid w:val="003A1197"/>
    <w:rsid w:val="003B0208"/>
    <w:rsid w:val="003B16A6"/>
    <w:rsid w:val="003B66EF"/>
    <w:rsid w:val="003C6821"/>
    <w:rsid w:val="003E75AA"/>
    <w:rsid w:val="004049F4"/>
    <w:rsid w:val="0041707E"/>
    <w:rsid w:val="004309A5"/>
    <w:rsid w:val="00433E25"/>
    <w:rsid w:val="00451E86"/>
    <w:rsid w:val="00461767"/>
    <w:rsid w:val="00461D5F"/>
    <w:rsid w:val="004A4DF5"/>
    <w:rsid w:val="004A6A3C"/>
    <w:rsid w:val="004C5F57"/>
    <w:rsid w:val="004D21C1"/>
    <w:rsid w:val="004D24EF"/>
    <w:rsid w:val="004E1FA0"/>
    <w:rsid w:val="004E2460"/>
    <w:rsid w:val="004F450E"/>
    <w:rsid w:val="004F75D3"/>
    <w:rsid w:val="00501065"/>
    <w:rsid w:val="005247B3"/>
    <w:rsid w:val="00540DBC"/>
    <w:rsid w:val="00545E83"/>
    <w:rsid w:val="00551CFA"/>
    <w:rsid w:val="00565F0F"/>
    <w:rsid w:val="00576D00"/>
    <w:rsid w:val="00577456"/>
    <w:rsid w:val="0058152D"/>
    <w:rsid w:val="005A0A23"/>
    <w:rsid w:val="005A2E8D"/>
    <w:rsid w:val="005A3373"/>
    <w:rsid w:val="005B5C3F"/>
    <w:rsid w:val="005C4629"/>
    <w:rsid w:val="005E1616"/>
    <w:rsid w:val="005F6B54"/>
    <w:rsid w:val="006007B7"/>
    <w:rsid w:val="00632747"/>
    <w:rsid w:val="00646815"/>
    <w:rsid w:val="006534F5"/>
    <w:rsid w:val="00657D75"/>
    <w:rsid w:val="00657F22"/>
    <w:rsid w:val="00677764"/>
    <w:rsid w:val="00694FB4"/>
    <w:rsid w:val="006B058B"/>
    <w:rsid w:val="006B1230"/>
    <w:rsid w:val="006C378E"/>
    <w:rsid w:val="006D40E7"/>
    <w:rsid w:val="006E1B30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673C5"/>
    <w:rsid w:val="00767D7C"/>
    <w:rsid w:val="007710EC"/>
    <w:rsid w:val="007717E0"/>
    <w:rsid w:val="00781070"/>
    <w:rsid w:val="00791C24"/>
    <w:rsid w:val="007A1058"/>
    <w:rsid w:val="007A34AB"/>
    <w:rsid w:val="007B5466"/>
    <w:rsid w:val="007D2AD2"/>
    <w:rsid w:val="007D722B"/>
    <w:rsid w:val="007E5BE2"/>
    <w:rsid w:val="007F7F74"/>
    <w:rsid w:val="00805BF4"/>
    <w:rsid w:val="00812075"/>
    <w:rsid w:val="00816A3F"/>
    <w:rsid w:val="0082317E"/>
    <w:rsid w:val="00824E2F"/>
    <w:rsid w:val="00833C7D"/>
    <w:rsid w:val="00836B20"/>
    <w:rsid w:val="00843FF8"/>
    <w:rsid w:val="00844981"/>
    <w:rsid w:val="00864DC2"/>
    <w:rsid w:val="00866906"/>
    <w:rsid w:val="00875978"/>
    <w:rsid w:val="00884487"/>
    <w:rsid w:val="008910FD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4AC2"/>
    <w:rsid w:val="009367FD"/>
    <w:rsid w:val="0094163C"/>
    <w:rsid w:val="00961963"/>
    <w:rsid w:val="0098545C"/>
    <w:rsid w:val="00985A76"/>
    <w:rsid w:val="00986827"/>
    <w:rsid w:val="0098791B"/>
    <w:rsid w:val="009B28B3"/>
    <w:rsid w:val="009B4953"/>
    <w:rsid w:val="009C2FDE"/>
    <w:rsid w:val="009D2E6F"/>
    <w:rsid w:val="009F16C4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86BE7"/>
    <w:rsid w:val="00AA359F"/>
    <w:rsid w:val="00AA718C"/>
    <w:rsid w:val="00AB1378"/>
    <w:rsid w:val="00AE2176"/>
    <w:rsid w:val="00AF792A"/>
    <w:rsid w:val="00B02B66"/>
    <w:rsid w:val="00B3190D"/>
    <w:rsid w:val="00B345C9"/>
    <w:rsid w:val="00B37BFF"/>
    <w:rsid w:val="00B631B3"/>
    <w:rsid w:val="00B87002"/>
    <w:rsid w:val="00B90DE4"/>
    <w:rsid w:val="00BA0174"/>
    <w:rsid w:val="00BC18F2"/>
    <w:rsid w:val="00BC65FE"/>
    <w:rsid w:val="00BE2D8F"/>
    <w:rsid w:val="00BE3FFB"/>
    <w:rsid w:val="00BF2AC8"/>
    <w:rsid w:val="00C055A7"/>
    <w:rsid w:val="00C13028"/>
    <w:rsid w:val="00C34740"/>
    <w:rsid w:val="00C351AA"/>
    <w:rsid w:val="00C4104E"/>
    <w:rsid w:val="00C43DC6"/>
    <w:rsid w:val="00C52CBE"/>
    <w:rsid w:val="00C8261B"/>
    <w:rsid w:val="00CB474B"/>
    <w:rsid w:val="00CC381B"/>
    <w:rsid w:val="00CD7BDF"/>
    <w:rsid w:val="00CE5E38"/>
    <w:rsid w:val="00D15886"/>
    <w:rsid w:val="00D40431"/>
    <w:rsid w:val="00D5084D"/>
    <w:rsid w:val="00D66110"/>
    <w:rsid w:val="00D73268"/>
    <w:rsid w:val="00D750E4"/>
    <w:rsid w:val="00D9033D"/>
    <w:rsid w:val="00D944EE"/>
    <w:rsid w:val="00DA5672"/>
    <w:rsid w:val="00DC185B"/>
    <w:rsid w:val="00DE495B"/>
    <w:rsid w:val="00DF07F9"/>
    <w:rsid w:val="00DF2B1B"/>
    <w:rsid w:val="00DF38AC"/>
    <w:rsid w:val="00E055B6"/>
    <w:rsid w:val="00E22226"/>
    <w:rsid w:val="00E2602B"/>
    <w:rsid w:val="00E2618B"/>
    <w:rsid w:val="00E33350"/>
    <w:rsid w:val="00E34B57"/>
    <w:rsid w:val="00E670E4"/>
    <w:rsid w:val="00E92F2E"/>
    <w:rsid w:val="00EA23C9"/>
    <w:rsid w:val="00EB0D1C"/>
    <w:rsid w:val="00ED779B"/>
    <w:rsid w:val="00EE2B92"/>
    <w:rsid w:val="00F014EE"/>
    <w:rsid w:val="00F02337"/>
    <w:rsid w:val="00F15F0E"/>
    <w:rsid w:val="00F265B2"/>
    <w:rsid w:val="00F57F64"/>
    <w:rsid w:val="00F73B13"/>
    <w:rsid w:val="00F85980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10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10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  <w:style w:type="paragraph" w:customStyle="1" w:styleId="Default">
    <w:name w:val="Default"/>
    <w:rsid w:val="006E1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9443c63d-9fad-4cac-a47c-1231fd255b2b</TermId>
        </TermInfo>
        <TermInfo xmlns="http://schemas.microsoft.com/office/infopath/2007/PartnerControls">
          <TermName xmlns="http://schemas.microsoft.com/office/infopath/2007/PartnerControls">Application Paper</TermName>
          <TermId xmlns="http://schemas.microsoft.com/office/infopath/2007/PartnerControls">3cd9ca2b-e9c2-4f0a-9fd4-eaa1a5c3fac5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IconOverlay xmlns="http://schemas.microsoft.com/sharepoint/v4" xsi:nil="true"/>
    <TaskDueDate xmlns="http://schemas.microsoft.com/sharepoint/v3/fields" xsi:nil="true"/>
    <TaxCatchAll xmlns="d4622e8b-ae39-4084-a6ef-0989140e3fa8">
      <Value>270</Value>
      <Value>114</Value>
    </TaxCatchAll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d92f77e7-0126-4817-b0be-c81ec27d6722-0.3</_dlc_DocId>
    <_dlc_DocIdUrl xmlns="d4622e8b-ae39-4084-a6ef-0989140e3fa8">
      <Url>https://sp.bisinfo.org/teams/iais/MCWG/_layouts/15/DocIdRedir.aspx?ID=d92f77e7-0126-4817-b0be-c81ec27d6722-0.3</Url>
      <Description>d92f77e7-0126-4817-b0be-c81ec27d6722-0.3</Description>
    </_dlc_DocIdUrl>
    <BisAdditionalLinks xmlns="bd6788f9-258e-4e83-99d6-7094fae085b7" xsi:nil="true"/>
    <BisDocumentDate xmlns="bd6788f9-258e-4e83-99d6-7094fae085b7">2022-10-11T22:00:00+00:00</BisDocumentDate>
    <BisRecipientsTaxHTField0 xmlns="bd6788f9-258e-4e83-99d6-7094fae085b7">
      <Terms xmlns="http://schemas.microsoft.com/office/infopath/2007/PartnerControls"/>
    </BisRecipientsTaxHTField0>
    <BisTransmission xmlns="bd6788f9-258e-4e83-99d6-7094fae085b7">Internal</BisTransmission>
    <BisRetention xmlns="bd6788f9-258e-4e83-99d6-7094fae085b7">Permanent</BisRetention>
    <IsMyDocuments xmlns="bd6788f9-258e-4e83-99d6-7094fae085b7">false</IsMyDocuments>
    <BisConfidentiality xmlns="bd6788f9-258e-4e83-99d6-7094fae085b7">Public</BisConfidentiality>
    <BisInstitutionTaxHTField0 xmlns="bd6788f9-258e-4e83-99d6-7094fae085b7">
      <Terms xmlns="http://schemas.microsoft.com/office/infopath/2007/PartnerControls"/>
    </BisInstitutionTaxHTField0>
    <BisPermalink xmlns="bd6788f9-258e-4e83-99d6-7094fae085b7">
      <Url xsi:nil="true"/>
      <Description xsi:nil="true"/>
    </BisPermalink>
    <BisCurrentVersion xmlns="bd6788f9-258e-4e83-99d6-7094fae085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8C541125D7CC7541B7D921EBEE6693E3" ma:contentTypeVersion="59" ma:contentTypeDescription="" ma:contentTypeScope="" ma:versionID="aa7812961d9a3a41752415334625513f">
  <xsd:schema xmlns:xsd="http://www.w3.org/2001/XMLSchema" xmlns:xs="http://www.w3.org/2001/XMLSchema" xmlns:p="http://schemas.microsoft.com/office/2006/metadata/properties" xmlns:ns1="http://schemas.microsoft.com/sharepoint/v3" xmlns:ns2="bd6788f9-258e-4e83-99d6-7094fae085b7" xmlns:ns3="d4622e8b-ae39-4084-a6ef-0989140e3fa8" xmlns:ns4="http://schemas.microsoft.com/sharepoint/v4" xmlns:ns5="http://schemas.microsoft.com/sharepoint/v3/fields" targetNamespace="http://schemas.microsoft.com/office/2006/metadata/properties" ma:root="true" ma:fieldsID="2db0dfcd87a47fd75ed9cc128e1bc2e1" ns1:_="" ns2:_="" ns3:_="" ns4:_="" ns5:_="">
    <xsd:import namespace="http://schemas.microsoft.com/sharepoint/v3"/>
    <xsd:import namespace="bd6788f9-258e-4e83-99d6-7094fae085b7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88f9-258e-4e83-99d6-7094fae085b7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internalName="Date_x0020_Circulated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list="UserInfo" ma:SharePointGroup="0" ma:internalName="Sen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6AD340-25AE-4D46-A09C-D02DAF0AB2B7}">
  <ds:schemaRefs>
    <ds:schemaRef ds:uri="http://schemas.microsoft.com/sharepoint/v3/fields"/>
    <ds:schemaRef ds:uri="http://purl.org/dc/terms/"/>
    <ds:schemaRef ds:uri="http://schemas.microsoft.com/office/2006/documentManagement/types"/>
    <ds:schemaRef ds:uri="d4622e8b-ae39-4084-a6ef-0989140e3fa8"/>
    <ds:schemaRef ds:uri="http://schemas.microsoft.com/office/infopath/2007/PartnerControls"/>
    <ds:schemaRef ds:uri="http://schemas.microsoft.com/sharepoint/v4"/>
    <ds:schemaRef ds:uri="http://schemas.microsoft.com/sharepoint/v3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bd6788f9-258e-4e83-99d6-7094fae085b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12DB7F-BC51-410E-9428-EA95E091C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88f9-258e-4e83-99d6-7094fae085b7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Lazhare.Bouldi@bis.org</dc:creator>
  <cp:keywords/>
  <dc:description/>
  <cp:lastModifiedBy>Kakkattu, Linta</cp:lastModifiedBy>
  <cp:revision>2</cp:revision>
  <dcterms:created xsi:type="dcterms:W3CDTF">2024-06-25T07:26:00Z</dcterms:created>
  <dcterms:modified xsi:type="dcterms:W3CDTF">2024-06-25T07:26:00Z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0x01010066E6577C753B40CABFD9C9409CB523E500C1639B71ACB2EC4FB0B8C8831EACAA9F008C541125D7CC7541B7D921EBEE6693E3</vt:lpwstr>
  </property>
  <property fmtid="{D5CDD505-2E9C-101B-9397-08002B2CF9AE}" pid="10" name="TaxKeyword">
    <vt:lpwstr/>
  </property>
  <property fmtid="{D5CDD505-2E9C-101B-9397-08002B2CF9AE}" pid="11" name="BISThematicTag">
    <vt:lpwstr>114;#Climate Change|9443c63d-9fad-4cac-a47c-1231fd255b2b;#270;#Application Paper|3cd9ca2b-e9c2-4f0a-9fd4-eaa1a5c3fac5</vt:lpwstr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fbb49c42-76a0-4883-9329-349d0fd61793</vt:lpwstr>
  </property>
  <property fmtid="{D5CDD505-2E9C-101B-9397-08002B2CF9AE}" pid="23" name="IAIS Core Principles">
    <vt:lpwstr/>
  </property>
  <property fmtid="{D5CDD505-2E9C-101B-9397-08002B2CF9AE}" pid="24" name="Hosting Institution">
    <vt:lpwstr/>
  </property>
  <property fmtid="{D5CDD505-2E9C-101B-9397-08002B2CF9AE}" pid="25" name="b03fdfab73244cfa8811b948d04b7e54">
    <vt:lpwstr/>
  </property>
  <property fmtid="{D5CDD505-2E9C-101B-9397-08002B2CF9AE}" pid="26" name="ec0bd0a502e44f6088b526bb0887fa61">
    <vt:lpwstr/>
  </property>
  <property fmtid="{D5CDD505-2E9C-101B-9397-08002B2CF9AE}" pid="27" name="IAIS Event">
    <vt:lpwstr/>
  </property>
  <property fmtid="{D5CDD505-2E9C-101B-9397-08002B2CF9AE}" pid="28" name="k0ea4bf975c14f1a8b37d00589fba0b1">
    <vt:lpwstr/>
  </property>
  <property fmtid="{D5CDD505-2E9C-101B-9397-08002B2CF9AE}" pid="29" name="IAIS Groups and Units">
    <vt:lpwstr/>
  </property>
  <property fmtid="{D5CDD505-2E9C-101B-9397-08002B2CF9AE}" pid="30" name="ifa1286719f3472c84c3874ed7e001be">
    <vt:lpwstr/>
  </property>
  <property fmtid="{D5CDD505-2E9C-101B-9397-08002B2CF9AE}" pid="31" name="Hosting Unit-">
    <vt:lpwstr/>
  </property>
  <property fmtid="{D5CDD505-2E9C-101B-9397-08002B2CF9AE}" pid="32" name="c471e98e2e494337a8a8a8c872125b4d">
    <vt:lpwstr/>
  </property>
  <property fmtid="{D5CDD505-2E9C-101B-9397-08002B2CF9AE}" pid="33" name="j185888639984cc08f48d5c44c07baca">
    <vt:lpwstr/>
  </property>
  <property fmtid="{D5CDD505-2E9C-101B-9397-08002B2CF9AE}" pid="34" name="IAIS Frequency">
    <vt:lpwstr/>
  </property>
</Properties>
</file>